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5F490A49" w:rsidR="00192F3E" w:rsidRPr="00C553BE" w:rsidRDefault="00192F3E" w:rsidP="00192F3E">
      <w:pPr>
        <w:jc w:val="center"/>
        <w:rPr>
          <w:b/>
          <w:sz w:val="22"/>
          <w:szCs w:val="22"/>
        </w:rPr>
      </w:pPr>
      <w:r w:rsidRPr="005F3A1E">
        <w:rPr>
          <w:b/>
          <w:bCs/>
          <w:sz w:val="22"/>
          <w:szCs w:val="22"/>
        </w:rPr>
        <w:t>Table 5.2</w:t>
      </w:r>
      <w:r w:rsidRPr="005F3A1E">
        <w:rPr>
          <w:bCs/>
          <w:sz w:val="22"/>
          <w:szCs w:val="22"/>
        </w:rPr>
        <w:t xml:space="preserve"> </w:t>
      </w:r>
      <w:r w:rsidR="00687040" w:rsidRPr="000F0059">
        <w:rPr>
          <w:bCs/>
          <w:sz w:val="22"/>
          <w:szCs w:val="22"/>
        </w:rPr>
        <w:t>Course Syllabus</w:t>
      </w:r>
    </w:p>
    <w:p w14:paraId="2CA68A1D" w14:textId="77777777" w:rsidR="00385793" w:rsidRPr="005F3A1E"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5F3A1E" w14:paraId="7254679E"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6947F7BE"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C553BE" w:rsidRPr="00044B53">
              <w:rPr>
                <w:rFonts w:ascii="Times New Roman" w:hAnsi="Times New Roman" w:cs="Times New Roman"/>
                <w:b/>
                <w:bCs/>
                <w:sz w:val="20"/>
                <w:szCs w:val="20"/>
                <w:lang w:val="en-GB"/>
              </w:rPr>
              <w:t>Economics and Management</w:t>
            </w:r>
          </w:p>
        </w:tc>
      </w:tr>
      <w:tr w:rsidR="00641FAC" w:rsidRPr="005F3A1E" w14:paraId="56F8D7BE"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56846EBA"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C553BE">
              <w:rPr>
                <w:rFonts w:ascii="Times New Roman" w:hAnsi="Times New Roman" w:cs="Times New Roman"/>
                <w:b/>
                <w:bCs/>
                <w:sz w:val="20"/>
                <w:szCs w:val="20"/>
                <w:lang w:val="en-GB"/>
              </w:rPr>
              <w:t>Monetary Economics II</w:t>
            </w:r>
          </w:p>
        </w:tc>
      </w:tr>
      <w:tr w:rsidR="00641FAC" w:rsidRPr="005F3A1E" w14:paraId="05C8D9D4"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70B534F4"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687040" w:rsidRPr="00687040">
              <w:rPr>
                <w:rFonts w:ascii="Times New Roman" w:hAnsi="Times New Roman" w:cs="Times New Roman"/>
                <w:bCs/>
                <w:sz w:val="20"/>
                <w:szCs w:val="20"/>
              </w:rPr>
              <w:t xml:space="preserve">Jadranka </w:t>
            </w:r>
            <w:r w:rsidR="00C553BE" w:rsidRPr="00687040">
              <w:rPr>
                <w:rFonts w:ascii="Times New Roman" w:hAnsi="Times New Roman" w:cs="Times New Roman"/>
                <w:bCs/>
                <w:sz w:val="20"/>
                <w:szCs w:val="20"/>
                <w:lang w:val="en-GB"/>
              </w:rPr>
              <w:t>Đurović-Todorović</w:t>
            </w:r>
            <w:r w:rsidR="00687040" w:rsidRPr="00687040">
              <w:rPr>
                <w:rFonts w:ascii="Times New Roman" w:hAnsi="Times New Roman" w:cs="Times New Roman"/>
                <w:bCs/>
                <w:sz w:val="20"/>
                <w:szCs w:val="20"/>
                <w:lang w:val="en-GB"/>
              </w:rPr>
              <w:t>, PhD,</w:t>
            </w:r>
            <w:r w:rsidR="00C553BE" w:rsidRPr="00687040">
              <w:rPr>
                <w:rFonts w:ascii="Times New Roman" w:hAnsi="Times New Roman" w:cs="Times New Roman"/>
                <w:bCs/>
                <w:sz w:val="20"/>
                <w:szCs w:val="20"/>
                <w:lang w:val="en-GB"/>
              </w:rPr>
              <w:t xml:space="preserve"> </w:t>
            </w:r>
            <w:r w:rsidR="00687040" w:rsidRPr="00687040">
              <w:rPr>
                <w:rFonts w:ascii="Times New Roman" w:hAnsi="Times New Roman" w:cs="Times New Roman"/>
                <w:bCs/>
                <w:sz w:val="20"/>
                <w:szCs w:val="20"/>
                <w:lang w:val="en-GB"/>
              </w:rPr>
              <w:t>Marina</w:t>
            </w:r>
            <w:r w:rsidR="00C553BE" w:rsidRPr="00687040">
              <w:rPr>
                <w:rFonts w:ascii="Times New Roman" w:hAnsi="Times New Roman" w:cs="Times New Roman"/>
                <w:bCs/>
                <w:sz w:val="20"/>
                <w:szCs w:val="20"/>
                <w:lang w:val="en-GB"/>
              </w:rPr>
              <w:t xml:space="preserve"> Đorđević</w:t>
            </w:r>
            <w:r w:rsidR="00687040" w:rsidRPr="00687040">
              <w:rPr>
                <w:rFonts w:ascii="Times New Roman" w:hAnsi="Times New Roman" w:cs="Times New Roman"/>
                <w:bCs/>
                <w:sz w:val="20"/>
                <w:szCs w:val="20"/>
                <w:lang w:val="en-GB"/>
              </w:rPr>
              <w:t>, PhD</w:t>
            </w:r>
          </w:p>
        </w:tc>
      </w:tr>
      <w:tr w:rsidR="00641FAC" w:rsidRPr="005F3A1E" w14:paraId="5068B0A4"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77B61134"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8C79F8" w:rsidRPr="00345AFD">
              <w:rPr>
                <w:rFonts w:ascii="Times New Roman" w:hAnsi="Times New Roman" w:cs="Times New Roman"/>
                <w:sz w:val="20"/>
                <w:szCs w:val="20"/>
              </w:rPr>
              <w:t>Elective</w:t>
            </w:r>
          </w:p>
        </w:tc>
      </w:tr>
      <w:tr w:rsidR="00641FAC" w:rsidRPr="005F3A1E" w14:paraId="41678AA8"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6962714"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8C79F8" w:rsidRPr="008C79F8">
              <w:rPr>
                <w:rFonts w:ascii="Times New Roman" w:hAnsi="Times New Roman" w:cs="Times New Roman"/>
                <w:sz w:val="20"/>
                <w:szCs w:val="20"/>
              </w:rPr>
              <w:t>6</w:t>
            </w:r>
          </w:p>
        </w:tc>
      </w:tr>
      <w:tr w:rsidR="00641FAC" w:rsidRPr="005F3A1E" w14:paraId="5D776B89"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B491BD5" w14:textId="77777777" w:rsidR="002F007A" w:rsidRPr="002F007A" w:rsidRDefault="002F007A" w:rsidP="002F007A">
            <w:pPr>
              <w:tabs>
                <w:tab w:val="left" w:pos="567"/>
              </w:tabs>
              <w:spacing w:before="60" w:after="60"/>
              <w:rPr>
                <w:b/>
                <w:bCs/>
                <w:sz w:val="20"/>
                <w:szCs w:val="20"/>
                <w:lang w:val="en-GB"/>
              </w:rPr>
            </w:pPr>
            <w:r w:rsidRPr="002F007A">
              <w:rPr>
                <w:b/>
                <w:bCs/>
                <w:sz w:val="20"/>
                <w:szCs w:val="20"/>
                <w:lang w:val="en-GB"/>
              </w:rPr>
              <w:t>Course Objectives:</w:t>
            </w:r>
          </w:p>
          <w:p w14:paraId="3EBDB962"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acquire knowledge and skills for understanding the nature of money, its creation and withdrawal, and its impact on economic developments; </w:t>
            </w:r>
          </w:p>
          <w:p w14:paraId="0F7DB9F3"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acquire knowledge and skills for distinguishing between classical and modern forms of money and understanding its structure; </w:t>
            </w:r>
          </w:p>
          <w:p w14:paraId="65534E7B"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enable students to understand and identify indicators of financial system stability, as well as the causes and consequences of crises through which it periodically passes; </w:t>
            </w:r>
          </w:p>
          <w:p w14:paraId="47F6AF28"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develop students’ competencies and skills for the proper interpretation and analysis of monetary reports, changes in monetary aggregates, and the correct interpretation of monetary indicators; </w:t>
            </w:r>
          </w:p>
          <w:p w14:paraId="5DAA6FA4"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familiarize students with the challenges of conducting monetary policy and the importance of identifying its orientation; </w:t>
            </w:r>
          </w:p>
          <w:p w14:paraId="6E89C5CF"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introduce students to the channels of the transmission mechanism and the impact of changes in the rate of monetary growth on nominal and real variables; </w:t>
            </w:r>
          </w:p>
          <w:p w14:paraId="3676913B"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develop students’ ability to accurately identify monetary policy strategies used in contemporary conditions; </w:t>
            </w:r>
          </w:p>
          <w:p w14:paraId="7DAE6829"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enable students to understand and interpret monetary measures and instruments used in conducting monetary policy and their impact on market interest rates and real variables; </w:t>
            </w:r>
          </w:p>
          <w:p w14:paraId="26DEE408"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develop the knowledge, skills, and abilities required for proper interpretation of the causes, effects, and magnitude of changes in the internal and external value of money; </w:t>
            </w:r>
          </w:p>
          <w:p w14:paraId="4FDED98D" w14:textId="77777777" w:rsidR="002F007A"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 xml:space="preserve">To familiarize students with the importance of the interconnection between the domestic and international monetary systems; </w:t>
            </w:r>
          </w:p>
          <w:p w14:paraId="53C26DD6" w14:textId="436946C9" w:rsidR="00757089" w:rsidRPr="002F007A" w:rsidRDefault="002F007A" w:rsidP="00687040">
            <w:pPr>
              <w:numPr>
                <w:ilvl w:val="0"/>
                <w:numId w:val="11"/>
              </w:numPr>
              <w:tabs>
                <w:tab w:val="clear" w:pos="720"/>
                <w:tab w:val="left" w:pos="567"/>
                <w:tab w:val="num" w:pos="630"/>
              </w:tabs>
              <w:spacing w:before="60" w:after="60"/>
              <w:ind w:left="450"/>
              <w:rPr>
                <w:sz w:val="20"/>
                <w:szCs w:val="20"/>
                <w:lang w:val="en-GB"/>
              </w:rPr>
            </w:pPr>
            <w:r w:rsidRPr="002F007A">
              <w:rPr>
                <w:sz w:val="20"/>
                <w:szCs w:val="20"/>
                <w:lang w:val="en-GB"/>
              </w:rPr>
              <w:t>To familiarize students with the importance of aligning monetary and fiscal policy directions.</w:t>
            </w:r>
          </w:p>
        </w:tc>
      </w:tr>
      <w:tr w:rsidR="00641FAC" w:rsidRPr="005F3A1E" w14:paraId="651F35F6"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E4FED" w:rsidRDefault="002714FF" w:rsidP="00220D99">
            <w:pPr>
              <w:tabs>
                <w:tab w:val="left" w:pos="567"/>
              </w:tabs>
              <w:spacing w:before="60" w:after="60"/>
              <w:rPr>
                <w:b/>
                <w:bCs/>
                <w:sz w:val="20"/>
                <w:szCs w:val="20"/>
              </w:rPr>
            </w:pPr>
            <w:r w:rsidRPr="005E4FED">
              <w:rPr>
                <w:b/>
                <w:bCs/>
                <w:sz w:val="20"/>
                <w:szCs w:val="20"/>
              </w:rPr>
              <w:t>Learning</w:t>
            </w:r>
            <w:r w:rsidR="001248E0" w:rsidRPr="005E4FED">
              <w:rPr>
                <w:b/>
                <w:bCs/>
                <w:sz w:val="20"/>
                <w:szCs w:val="20"/>
              </w:rPr>
              <w:t xml:space="preserve"> </w:t>
            </w:r>
            <w:r w:rsidR="001A6813" w:rsidRPr="005E4FED">
              <w:rPr>
                <w:b/>
                <w:bCs/>
                <w:sz w:val="20"/>
                <w:szCs w:val="20"/>
              </w:rPr>
              <w:t>O</w:t>
            </w:r>
            <w:r w:rsidR="001248E0" w:rsidRPr="005E4FED">
              <w:rPr>
                <w:b/>
                <w:bCs/>
                <w:sz w:val="20"/>
                <w:szCs w:val="20"/>
              </w:rPr>
              <w:t>utcomes</w:t>
            </w:r>
          </w:p>
          <w:p w14:paraId="73802903" w14:textId="77777777" w:rsidR="00DC5531" w:rsidRPr="005E4FED" w:rsidRDefault="00DC5531" w:rsidP="00DC5531">
            <w:pPr>
              <w:pStyle w:val="Body"/>
              <w:tabs>
                <w:tab w:val="left" w:pos="567"/>
              </w:tabs>
              <w:spacing w:before="60" w:after="60"/>
              <w:contextualSpacing/>
              <w:jc w:val="both"/>
              <w:rPr>
                <w:rFonts w:ascii="Times New Roman" w:hAnsi="Times New Roman" w:cs="Times New Roman"/>
                <w:sz w:val="20"/>
                <w:szCs w:val="20"/>
                <w:lang w:val="en-GB"/>
              </w:rPr>
            </w:pPr>
            <w:r w:rsidRPr="005E4FED">
              <w:rPr>
                <w:rFonts w:ascii="Times New Roman" w:hAnsi="Times New Roman" w:cs="Times New Roman"/>
                <w:sz w:val="20"/>
                <w:szCs w:val="20"/>
                <w:lang w:val="en-GB"/>
              </w:rPr>
              <w:t>Students will be able to:</w:t>
            </w:r>
          </w:p>
          <w:p w14:paraId="16B2402B"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w:t>
            </w:r>
            <w:r w:rsidRPr="00687040">
              <w:rPr>
                <w:rFonts w:ascii="Times New Roman" w:hAnsi="Times New Roman" w:cs="Times New Roman"/>
                <w:sz w:val="20"/>
                <w:szCs w:val="20"/>
                <w:lang w:val="en-GB"/>
              </w:rPr>
              <w:t xml:space="preserve"> identify key monetary aggregates and determine their structure and dynamics; </w:t>
            </w:r>
          </w:p>
          <w:p w14:paraId="4F5470A3"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(LO2)</w:t>
            </w:r>
            <w:r w:rsidRPr="00687040">
              <w:rPr>
                <w:rFonts w:ascii="Times New Roman" w:hAnsi="Times New Roman" w:cs="Times New Roman"/>
                <w:sz w:val="20"/>
                <w:szCs w:val="20"/>
                <w:lang w:val="en-GB"/>
              </w:rPr>
              <w:t xml:space="preserve"> clearly distinguish between traditional and modern monetary systems and payment instruments; </w:t>
            </w:r>
          </w:p>
          <w:p w14:paraId="7571EDD6"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(LO3)</w:t>
            </w:r>
            <w:r w:rsidRPr="00687040">
              <w:rPr>
                <w:rFonts w:ascii="Times New Roman" w:hAnsi="Times New Roman" w:cs="Times New Roman"/>
                <w:sz w:val="20"/>
                <w:szCs w:val="20"/>
                <w:lang w:val="en-GB"/>
              </w:rPr>
              <w:t xml:space="preserve"> understand and interpret the stance of monetary policy (restrictive or expansionary); </w:t>
            </w:r>
          </w:p>
          <w:p w14:paraId="2EBE15AB"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(LO4)</w:t>
            </w:r>
            <w:r w:rsidRPr="00687040">
              <w:rPr>
                <w:rFonts w:ascii="Times New Roman" w:hAnsi="Times New Roman" w:cs="Times New Roman"/>
                <w:sz w:val="20"/>
                <w:szCs w:val="20"/>
                <w:lang w:val="en-GB"/>
              </w:rPr>
              <w:t xml:space="preserve"> clearly identify the processes of money supply and base money creation, and distinguish between primary and secondary money issuance; </w:t>
            </w:r>
          </w:p>
          <w:p w14:paraId="4D51FC64"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(LO5)</w:t>
            </w:r>
            <w:r w:rsidRPr="00687040">
              <w:rPr>
                <w:rFonts w:ascii="Times New Roman" w:hAnsi="Times New Roman" w:cs="Times New Roman"/>
                <w:sz w:val="20"/>
                <w:szCs w:val="20"/>
                <w:lang w:val="en-GB"/>
              </w:rPr>
              <w:t xml:space="preserve"> calculate and interpret the monetary multiplier for various monetary aggregates; </w:t>
            </w:r>
          </w:p>
          <w:p w14:paraId="5D4C55CD"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(LO6)</w:t>
            </w:r>
            <w:r w:rsidRPr="00687040">
              <w:rPr>
                <w:rFonts w:ascii="Times New Roman" w:hAnsi="Times New Roman" w:cs="Times New Roman"/>
                <w:sz w:val="20"/>
                <w:szCs w:val="20"/>
                <w:lang w:val="en-GB"/>
              </w:rPr>
              <w:t xml:space="preserve"> calculate the structure of the money supply and assess the level of financial system development based on it; </w:t>
            </w:r>
          </w:p>
          <w:p w14:paraId="548492A1"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(LO7)</w:t>
            </w:r>
            <w:r w:rsidRPr="00687040">
              <w:rPr>
                <w:rFonts w:ascii="Times New Roman" w:hAnsi="Times New Roman" w:cs="Times New Roman"/>
                <w:sz w:val="20"/>
                <w:szCs w:val="20"/>
                <w:lang w:val="en-GB"/>
              </w:rPr>
              <w:t xml:space="preserve"> interpret central bank reports and assess their independence and transparency; </w:t>
            </w:r>
          </w:p>
          <w:p w14:paraId="7CFA1FAC"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(LO8)</w:t>
            </w:r>
            <w:r w:rsidRPr="00687040">
              <w:rPr>
                <w:rFonts w:ascii="Times New Roman" w:hAnsi="Times New Roman" w:cs="Times New Roman"/>
                <w:sz w:val="20"/>
                <w:szCs w:val="20"/>
                <w:lang w:val="en-GB"/>
              </w:rPr>
              <w:t xml:space="preserve"> explain the impact of changes in monetary policy instruments and measures on market interest rates, price stability, and economic growth; </w:t>
            </w:r>
          </w:p>
          <w:p w14:paraId="229E0CFC"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(LO9)</w:t>
            </w:r>
            <w:r w:rsidRPr="00687040">
              <w:rPr>
                <w:rFonts w:ascii="Times New Roman" w:hAnsi="Times New Roman" w:cs="Times New Roman"/>
                <w:sz w:val="20"/>
                <w:szCs w:val="20"/>
                <w:lang w:val="en-GB"/>
              </w:rPr>
              <w:t xml:space="preserve"> clearly distinguish and compare inflation indicators, and identify the causes and consequences of inflation; </w:t>
            </w:r>
          </w:p>
          <w:p w14:paraId="2464F0FF"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(LO10)</w:t>
            </w:r>
            <w:r w:rsidRPr="00687040">
              <w:rPr>
                <w:rFonts w:ascii="Times New Roman" w:hAnsi="Times New Roman" w:cs="Times New Roman"/>
                <w:sz w:val="20"/>
                <w:szCs w:val="20"/>
                <w:lang w:val="en-GB"/>
              </w:rPr>
              <w:t xml:space="preserve"> analyze the structure of the Consumer Price Index and calculate the inflation rate; </w:t>
            </w:r>
          </w:p>
          <w:p w14:paraId="4F7E2B1F"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(LO11)</w:t>
            </w:r>
            <w:r w:rsidRPr="00687040">
              <w:rPr>
                <w:rFonts w:ascii="Times New Roman" w:hAnsi="Times New Roman" w:cs="Times New Roman"/>
                <w:sz w:val="20"/>
                <w:szCs w:val="20"/>
                <w:lang w:val="en-GB"/>
              </w:rPr>
              <w:t xml:space="preserve"> recognize central bank securities/instruments in the financial market; </w:t>
            </w:r>
          </w:p>
          <w:p w14:paraId="36491EDA"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(LO12)</w:t>
            </w:r>
            <w:r w:rsidRPr="00687040">
              <w:rPr>
                <w:rFonts w:ascii="Times New Roman" w:hAnsi="Times New Roman" w:cs="Times New Roman"/>
                <w:sz w:val="20"/>
                <w:szCs w:val="20"/>
                <w:lang w:val="en-GB"/>
              </w:rPr>
              <w:t xml:space="preserve"> understand and calculate changes in the purchasing power of money and its exchange value; </w:t>
            </w:r>
          </w:p>
          <w:p w14:paraId="2E315BD3"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(LO13)</w:t>
            </w:r>
            <w:r w:rsidRPr="00687040">
              <w:rPr>
                <w:rFonts w:ascii="Times New Roman" w:hAnsi="Times New Roman" w:cs="Times New Roman"/>
                <w:sz w:val="20"/>
                <w:szCs w:val="20"/>
                <w:lang w:val="en-GB"/>
              </w:rPr>
              <w:t xml:space="preserve"> understand the importance of monetary policy and its connection with the international monetary system, especially under unstable conditions; </w:t>
            </w:r>
          </w:p>
          <w:p w14:paraId="369C8432" w14:textId="77777777" w:rsidR="00DC5531" w:rsidRPr="00687040"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lang w:val="en-GB"/>
              </w:rPr>
            </w:pPr>
            <w:r w:rsidRPr="00687040">
              <w:rPr>
                <w:rFonts w:ascii="Times New Roman" w:hAnsi="Times New Roman" w:cs="Times New Roman"/>
                <w:bCs/>
                <w:sz w:val="20"/>
                <w:szCs w:val="20"/>
                <w:lang w:val="en-GB"/>
              </w:rPr>
              <w:t>(LO14)</w:t>
            </w:r>
            <w:r w:rsidRPr="00687040">
              <w:rPr>
                <w:rFonts w:ascii="Times New Roman" w:hAnsi="Times New Roman" w:cs="Times New Roman"/>
                <w:sz w:val="20"/>
                <w:szCs w:val="20"/>
                <w:lang w:val="en-GB"/>
              </w:rPr>
              <w:t xml:space="preserve"> identify the determinants of demand for cash, deposit, and digital money; </w:t>
            </w:r>
          </w:p>
          <w:p w14:paraId="7D4542C3" w14:textId="5A872FC2" w:rsidR="00757089" w:rsidRPr="005E4FED" w:rsidRDefault="00DC5531" w:rsidP="00687040">
            <w:pPr>
              <w:pStyle w:val="Body"/>
              <w:numPr>
                <w:ilvl w:val="0"/>
                <w:numId w:val="12"/>
              </w:numPr>
              <w:tabs>
                <w:tab w:val="clear" w:pos="720"/>
                <w:tab w:val="num" w:pos="450"/>
                <w:tab w:val="left" w:pos="567"/>
              </w:tabs>
              <w:spacing w:before="60" w:after="60"/>
              <w:ind w:left="450"/>
              <w:contextualSpacing/>
              <w:jc w:val="both"/>
              <w:rPr>
                <w:rFonts w:ascii="Times New Roman" w:hAnsi="Times New Roman" w:cs="Times New Roman"/>
                <w:sz w:val="20"/>
                <w:szCs w:val="20"/>
              </w:rPr>
            </w:pPr>
            <w:r w:rsidRPr="00687040">
              <w:rPr>
                <w:rFonts w:ascii="Times New Roman" w:hAnsi="Times New Roman" w:cs="Times New Roman"/>
                <w:bCs/>
                <w:sz w:val="20"/>
                <w:szCs w:val="20"/>
                <w:lang w:val="en-GB"/>
              </w:rPr>
              <w:t>(LO15)</w:t>
            </w:r>
            <w:r w:rsidRPr="00687040">
              <w:rPr>
                <w:rFonts w:ascii="Times New Roman" w:hAnsi="Times New Roman" w:cs="Times New Roman"/>
                <w:sz w:val="20"/>
                <w:szCs w:val="20"/>
                <w:lang w:val="en-GB"/>
              </w:rPr>
              <w:t xml:space="preserve"> explain the importance of aligning monetary and fiscal policy directions.</w:t>
            </w:r>
          </w:p>
        </w:tc>
      </w:tr>
      <w:tr w:rsidR="00641FAC" w:rsidRPr="005F3A1E" w14:paraId="00D5C224"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0B2DAAD5"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Forms and structure of modern money;</w:t>
            </w:r>
          </w:p>
          <w:p w14:paraId="15724407"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The role of the central bank in the financial system;</w:t>
            </w:r>
          </w:p>
          <w:p w14:paraId="6F37A1F2"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Concepts of monetary policy;</w:t>
            </w:r>
          </w:p>
          <w:p w14:paraId="211DA528"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Challenges in conducting monetary policy;</w:t>
            </w:r>
          </w:p>
          <w:p w14:paraId="6CE914B9"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Traditional instruments of monetary policy;</w:t>
            </w:r>
          </w:p>
          <w:p w14:paraId="02E378FC" w14:textId="77777777" w:rsidR="00DC5531" w:rsidRPr="00A43D28" w:rsidRDefault="00DC5531" w:rsidP="00687040">
            <w:pPr>
              <w:pStyle w:val="ListParagraph"/>
              <w:numPr>
                <w:ilvl w:val="0"/>
                <w:numId w:val="13"/>
              </w:numPr>
              <w:tabs>
                <w:tab w:val="left" w:pos="567"/>
              </w:tabs>
              <w:spacing w:before="60" w:after="60"/>
              <w:ind w:left="450"/>
              <w:rPr>
                <w:rFonts w:ascii="Times New Roman" w:hAnsi="Times New Roman" w:cs="Times New Roman"/>
                <w:bCs/>
                <w:iCs/>
                <w:sz w:val="20"/>
                <w:szCs w:val="20"/>
              </w:rPr>
            </w:pPr>
            <w:r w:rsidRPr="00A43D28">
              <w:rPr>
                <w:rFonts w:ascii="Times New Roman" w:hAnsi="Times New Roman" w:cs="Times New Roman"/>
                <w:bCs/>
                <w:iCs/>
                <w:sz w:val="20"/>
                <w:szCs w:val="20"/>
              </w:rPr>
              <w:t>Unconventional instruments of monetary policy;</w:t>
            </w:r>
          </w:p>
          <w:p w14:paraId="0EF1D7D0"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lastRenderedPageBreak/>
              <w:t>Inflation targeting as a monetary policy strategy;</w:t>
            </w:r>
          </w:p>
          <w:p w14:paraId="726E8969"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Exchange rate targeting strategies;</w:t>
            </w:r>
          </w:p>
          <w:p w14:paraId="3093B893"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The process of money creation and the structure of monetary aggregates;</w:t>
            </w:r>
          </w:p>
          <w:p w14:paraId="42A7A9FE"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Determinants of money demand;</w:t>
            </w:r>
          </w:p>
          <w:p w14:paraId="0ECC1C20"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Inflation – causes, consequences, and anti-inflationary measures;</w:t>
            </w:r>
          </w:p>
          <w:p w14:paraId="567CA1F6"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Transmission of monetary policy to nominal and real variables;</w:t>
            </w:r>
          </w:p>
          <w:p w14:paraId="3965211C" w14:textId="77777777" w:rsidR="00DC5531"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Indicators of monetary policy;</w:t>
            </w:r>
          </w:p>
          <w:p w14:paraId="6BEFD33A" w14:textId="326E9A09" w:rsidR="00757089" w:rsidRPr="00A43D28" w:rsidRDefault="00DC5531" w:rsidP="00687040">
            <w:pPr>
              <w:pStyle w:val="ListParagraph"/>
              <w:numPr>
                <w:ilvl w:val="0"/>
                <w:numId w:val="13"/>
              </w:numPr>
              <w:tabs>
                <w:tab w:val="left" w:pos="567"/>
              </w:tabs>
              <w:spacing w:before="60" w:after="60"/>
              <w:ind w:left="540"/>
              <w:rPr>
                <w:rFonts w:ascii="Times New Roman" w:hAnsi="Times New Roman" w:cs="Times New Roman"/>
                <w:bCs/>
                <w:iCs/>
                <w:sz w:val="20"/>
                <w:szCs w:val="20"/>
              </w:rPr>
            </w:pPr>
            <w:r w:rsidRPr="00A43D28">
              <w:rPr>
                <w:rFonts w:ascii="Times New Roman" w:hAnsi="Times New Roman" w:cs="Times New Roman"/>
                <w:bCs/>
                <w:iCs/>
                <w:sz w:val="20"/>
                <w:szCs w:val="20"/>
              </w:rPr>
              <w:t>Coordination of monetary and fiscal policy measures;</w:t>
            </w:r>
          </w:p>
          <w:p w14:paraId="605040DB" w14:textId="375490B0" w:rsidR="00EF5CA3" w:rsidRPr="001611CA" w:rsidRDefault="001248E0" w:rsidP="00757089">
            <w:pPr>
              <w:tabs>
                <w:tab w:val="left" w:pos="567"/>
              </w:tabs>
              <w:spacing w:before="60" w:after="60"/>
              <w:jc w:val="both"/>
              <w:rPr>
                <w:i/>
                <w:sz w:val="20"/>
                <w:szCs w:val="20"/>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6BBFFC5A"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of the volume, structure, and dynamics of monetary aggregates in selected countries;</w:t>
            </w:r>
          </w:p>
          <w:p w14:paraId="41CD43E9"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Examination of the relationship between traditional and modern payment instruments;</w:t>
            </w:r>
          </w:p>
          <w:p w14:paraId="16FB98A5"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of the efficiency of selected central banks;</w:t>
            </w:r>
          </w:p>
          <w:p w14:paraId="2CF86C3D"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Time-series analysis of changes in the monetary policy stance (expansionary vs. restrictive);</w:t>
            </w:r>
          </w:p>
          <w:p w14:paraId="095D68F8"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of traditional instruments and measures used by modern central banks;</w:t>
            </w:r>
          </w:p>
          <w:p w14:paraId="65FC4915"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of unconventional instruments and measures used by modern central banks;</w:t>
            </w:r>
          </w:p>
          <w:p w14:paraId="4146F140"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Evaluation of the effectiveness of the inflation targeting strategy of the ECB and the NBS;</w:t>
            </w:r>
          </w:p>
          <w:p w14:paraId="3C1EA60C"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Assessment of the outcomes of exchange rate targeting strategies under contemporary conditions;</w:t>
            </w:r>
          </w:p>
          <w:p w14:paraId="16CCF06B"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of the processes of money supply and base money creation;</w:t>
            </w:r>
          </w:p>
          <w:p w14:paraId="205C3B17"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Identification of the determinants of demand for cash, deposit, and digital money</w:t>
            </w:r>
          </w:p>
          <w:p w14:paraId="161B1DCF"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Comparative overview of different measures of inflation and key elements of anti-inflationary frameworks;</w:t>
            </w:r>
          </w:p>
          <w:p w14:paraId="7C422266"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Identification of the channels of monetary policy transmission to nominal and real variables;</w:t>
            </w:r>
          </w:p>
          <w:p w14:paraId="6213BAA7"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Calculation and analysis of monetary indicators;</w:t>
            </w:r>
          </w:p>
          <w:p w14:paraId="20A4E4C3"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Analysis and interpretation of central bank monetary reports;</w:t>
            </w:r>
          </w:p>
          <w:p w14:paraId="61A4C626" w14:textId="77777777" w:rsidR="00DC5531" w:rsidRPr="00A43D28" w:rsidRDefault="00DC5531" w:rsidP="00687040">
            <w:pPr>
              <w:pStyle w:val="ListParagraph"/>
              <w:numPr>
                <w:ilvl w:val="0"/>
                <w:numId w:val="14"/>
              </w:numPr>
              <w:tabs>
                <w:tab w:val="left" w:pos="567"/>
              </w:tabs>
              <w:spacing w:before="60" w:after="60"/>
              <w:ind w:left="540"/>
              <w:jc w:val="both"/>
              <w:rPr>
                <w:rFonts w:ascii="Times New Roman" w:hAnsi="Times New Roman" w:cs="Times New Roman"/>
                <w:sz w:val="20"/>
                <w:szCs w:val="20"/>
              </w:rPr>
            </w:pPr>
            <w:r w:rsidRPr="00A43D28">
              <w:rPr>
                <w:rFonts w:ascii="Times New Roman" w:hAnsi="Times New Roman" w:cs="Times New Roman"/>
                <w:sz w:val="20"/>
                <w:szCs w:val="20"/>
              </w:rPr>
              <w:t>Identification of alignment/misalignment in the orientation of monetary and fiscal policy measures and instruments;</w:t>
            </w:r>
          </w:p>
          <w:p w14:paraId="761438D9" w14:textId="23A73B90" w:rsidR="00757089" w:rsidRPr="00DC5531" w:rsidRDefault="00DC5531" w:rsidP="00687040">
            <w:pPr>
              <w:pStyle w:val="ListParagraph"/>
              <w:numPr>
                <w:ilvl w:val="0"/>
                <w:numId w:val="14"/>
              </w:numPr>
              <w:tabs>
                <w:tab w:val="left" w:pos="567"/>
              </w:tabs>
              <w:spacing w:before="60" w:after="60"/>
              <w:ind w:left="540"/>
              <w:jc w:val="both"/>
              <w:rPr>
                <w:sz w:val="20"/>
                <w:szCs w:val="20"/>
              </w:rPr>
            </w:pPr>
            <w:r w:rsidRPr="00A43D28">
              <w:rPr>
                <w:rFonts w:ascii="Times New Roman" w:hAnsi="Times New Roman" w:cs="Times New Roman"/>
                <w:sz w:val="20"/>
                <w:szCs w:val="20"/>
              </w:rPr>
              <w:t>Interpretation of the impact of changes in the international foreign exchange market on the exchange rates of selected countries.</w:t>
            </w:r>
          </w:p>
        </w:tc>
      </w:tr>
      <w:tr w:rsidR="00641FAC" w:rsidRPr="008C79F8" w14:paraId="584CE1FE"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1665D2A2" w:rsidR="00641FAC" w:rsidRPr="005E4FED" w:rsidRDefault="008A4D74" w:rsidP="00220D99">
            <w:pPr>
              <w:pStyle w:val="Body"/>
              <w:tabs>
                <w:tab w:val="left" w:pos="567"/>
              </w:tabs>
              <w:spacing w:before="60" w:after="60"/>
              <w:rPr>
                <w:rFonts w:ascii="Times New Roman" w:hAnsi="Times New Roman" w:cs="Times New Roman"/>
                <w:b/>
                <w:bCs/>
                <w:sz w:val="20"/>
                <w:szCs w:val="20"/>
              </w:rPr>
            </w:pPr>
            <w:r w:rsidRPr="005E4FED">
              <w:rPr>
                <w:rFonts w:ascii="Times New Roman" w:hAnsi="Times New Roman" w:cs="Times New Roman"/>
                <w:b/>
                <w:bCs/>
                <w:sz w:val="20"/>
                <w:szCs w:val="20"/>
              </w:rPr>
              <w:lastRenderedPageBreak/>
              <w:t>Literature</w:t>
            </w:r>
          </w:p>
          <w:p w14:paraId="7316DA5F" w14:textId="3E1EB3D9" w:rsidR="005D5AD5" w:rsidRPr="005E4FED" w:rsidRDefault="005D5AD5" w:rsidP="00220D99">
            <w:pPr>
              <w:pStyle w:val="Body"/>
              <w:tabs>
                <w:tab w:val="left" w:pos="567"/>
              </w:tabs>
              <w:spacing w:before="60" w:after="60"/>
              <w:rPr>
                <w:rFonts w:ascii="Times New Roman" w:hAnsi="Times New Roman" w:cs="Times New Roman"/>
                <w:b/>
                <w:bCs/>
                <w:sz w:val="20"/>
                <w:szCs w:val="20"/>
              </w:rPr>
            </w:pPr>
            <w:r w:rsidRPr="005E4FED">
              <w:rPr>
                <w:rFonts w:ascii="Times New Roman" w:hAnsi="Times New Roman" w:cs="Times New Roman"/>
                <w:b/>
                <w:bCs/>
                <w:sz w:val="20"/>
                <w:szCs w:val="20"/>
              </w:rPr>
              <w:t>Compulsory</w:t>
            </w:r>
          </w:p>
          <w:p w14:paraId="1CBE438B" w14:textId="77777777" w:rsidR="005D5AD5" w:rsidRPr="005E4FED" w:rsidRDefault="005D5AD5" w:rsidP="00687040">
            <w:pPr>
              <w:pStyle w:val="Body"/>
              <w:numPr>
                <w:ilvl w:val="0"/>
                <w:numId w:val="15"/>
              </w:numPr>
              <w:tabs>
                <w:tab w:val="left" w:pos="567"/>
              </w:tabs>
              <w:spacing w:before="60"/>
              <w:ind w:left="540"/>
              <w:rPr>
                <w:rFonts w:ascii="Times New Roman" w:hAnsi="Times New Roman" w:cs="Times New Roman"/>
                <w:sz w:val="20"/>
                <w:szCs w:val="20"/>
                <w:lang w:val="sr-Cyrl-CS"/>
              </w:rPr>
            </w:pPr>
            <w:r w:rsidRPr="005E4FED">
              <w:rPr>
                <w:rFonts w:ascii="Times New Roman" w:hAnsi="Times New Roman" w:cs="Times New Roman"/>
                <w:sz w:val="20"/>
                <w:szCs w:val="20"/>
                <w:lang w:val="sr-Cyrl-CS"/>
              </w:rPr>
              <w:t>Ђуровић Тодоровић, Ј., (2014), МОНЕТАРНА ЕКОНОМИЈА, Економски факултет Универзитета у Нишу,</w:t>
            </w:r>
          </w:p>
          <w:p w14:paraId="4A31E531" w14:textId="77777777" w:rsidR="005D5AD5" w:rsidRPr="005E4FED" w:rsidRDefault="005D5AD5" w:rsidP="00687040">
            <w:pPr>
              <w:pStyle w:val="Body"/>
              <w:numPr>
                <w:ilvl w:val="0"/>
                <w:numId w:val="15"/>
              </w:numPr>
              <w:tabs>
                <w:tab w:val="left" w:pos="567"/>
              </w:tabs>
              <w:spacing w:before="60"/>
              <w:ind w:left="540"/>
              <w:rPr>
                <w:rFonts w:ascii="Times New Roman" w:hAnsi="Times New Roman" w:cs="Times New Roman"/>
                <w:sz w:val="20"/>
                <w:szCs w:val="20"/>
                <w:lang w:val="sr-Cyrl-CS"/>
              </w:rPr>
            </w:pPr>
            <w:r w:rsidRPr="005E4FED">
              <w:rPr>
                <w:rFonts w:ascii="Times New Roman" w:hAnsi="Times New Roman" w:cs="Times New Roman"/>
                <w:iCs/>
                <w:sz w:val="20"/>
                <w:szCs w:val="20"/>
                <w:lang w:val="sr-Cyrl-CS"/>
              </w:rPr>
              <w:t>Ђуровић Тодоровић, Ј.,</w:t>
            </w:r>
            <w:r w:rsidRPr="005E4FED">
              <w:rPr>
                <w:rFonts w:ascii="Times New Roman" w:hAnsi="Times New Roman" w:cs="Times New Roman"/>
                <w:iCs/>
                <w:sz w:val="20"/>
                <w:szCs w:val="20"/>
                <w:lang w:val="sr-Latn-RS"/>
              </w:rPr>
              <w:t xml:space="preserve"> </w:t>
            </w:r>
            <w:r w:rsidRPr="005E4FED">
              <w:rPr>
                <w:rFonts w:ascii="Times New Roman" w:hAnsi="Times New Roman" w:cs="Times New Roman"/>
                <w:iCs/>
                <w:sz w:val="20"/>
                <w:szCs w:val="20"/>
                <w:lang w:val="sr-Cyrl-RS"/>
              </w:rPr>
              <w:t xml:space="preserve">Ђорђевић, М., </w:t>
            </w:r>
            <w:r w:rsidRPr="005E4FED">
              <w:rPr>
                <w:rFonts w:ascii="Times New Roman" w:hAnsi="Times New Roman" w:cs="Times New Roman"/>
                <w:iCs/>
                <w:sz w:val="20"/>
                <w:szCs w:val="20"/>
                <w:lang w:val="sr-Latn-RS"/>
              </w:rPr>
              <w:t>(</w:t>
            </w:r>
            <w:r w:rsidRPr="005E4FED">
              <w:rPr>
                <w:rFonts w:ascii="Times New Roman" w:hAnsi="Times New Roman" w:cs="Times New Roman"/>
                <w:iCs/>
                <w:sz w:val="20"/>
                <w:szCs w:val="20"/>
                <w:lang w:val="sr-Cyrl-RS"/>
              </w:rPr>
              <w:t>2011</w:t>
            </w:r>
            <w:r w:rsidRPr="005E4FED">
              <w:rPr>
                <w:rFonts w:ascii="Times New Roman" w:hAnsi="Times New Roman" w:cs="Times New Roman"/>
                <w:iCs/>
                <w:sz w:val="20"/>
                <w:szCs w:val="20"/>
                <w:lang w:val="sr-Latn-RS"/>
              </w:rPr>
              <w:t xml:space="preserve">), </w:t>
            </w:r>
            <w:r w:rsidRPr="005E4FED">
              <w:rPr>
                <w:rFonts w:ascii="Times New Roman" w:hAnsi="Times New Roman" w:cs="Times New Roman"/>
                <w:sz w:val="20"/>
                <w:szCs w:val="20"/>
                <w:lang w:val="sr-Cyrl-CS"/>
              </w:rPr>
              <w:t xml:space="preserve">Монетарна стратегија, Економски факултет Ниш, </w:t>
            </w:r>
          </w:p>
          <w:p w14:paraId="77325D64" w14:textId="77777777" w:rsidR="005D5AD5" w:rsidRPr="005E4FED" w:rsidRDefault="005D5AD5" w:rsidP="00687040">
            <w:pPr>
              <w:pStyle w:val="Body"/>
              <w:numPr>
                <w:ilvl w:val="0"/>
                <w:numId w:val="15"/>
              </w:numPr>
              <w:tabs>
                <w:tab w:val="left" w:pos="567"/>
              </w:tabs>
              <w:spacing w:before="60"/>
              <w:ind w:left="540"/>
              <w:rPr>
                <w:rFonts w:ascii="Times New Roman" w:hAnsi="Times New Roman" w:cs="Times New Roman"/>
                <w:sz w:val="20"/>
                <w:szCs w:val="20"/>
                <w:lang w:val="sr-Cyrl-CS"/>
              </w:rPr>
            </w:pPr>
            <w:r w:rsidRPr="005E4FED">
              <w:rPr>
                <w:rFonts w:ascii="Times New Roman" w:hAnsi="Times New Roman" w:cs="Times New Roman"/>
                <w:sz w:val="20"/>
                <w:szCs w:val="20"/>
                <w:lang w:val="sr-Cyrl-CS"/>
              </w:rPr>
              <w:t>Ђорђевић, М., Обрадовић, Ј., (2025), Трансмисиони канали монетарне политике – теоријски и емпиријски аспекти, Економски факултет Универзитета у Нишу,</w:t>
            </w:r>
          </w:p>
          <w:p w14:paraId="2B806F42" w14:textId="3D5D04C5" w:rsidR="005D5AD5" w:rsidRPr="005E4FED" w:rsidRDefault="005D5AD5" w:rsidP="005D5AD5">
            <w:pPr>
              <w:pStyle w:val="Body"/>
              <w:tabs>
                <w:tab w:val="left" w:pos="567"/>
              </w:tabs>
              <w:spacing w:before="60"/>
              <w:rPr>
                <w:rFonts w:ascii="Times New Roman" w:hAnsi="Times New Roman" w:cs="Times New Roman"/>
                <w:b/>
                <w:bCs/>
                <w:sz w:val="20"/>
                <w:szCs w:val="20"/>
              </w:rPr>
            </w:pPr>
            <w:r w:rsidRPr="005E4FED">
              <w:rPr>
                <w:rFonts w:ascii="Times New Roman" w:hAnsi="Times New Roman" w:cs="Times New Roman"/>
                <w:b/>
                <w:bCs/>
                <w:sz w:val="20"/>
                <w:szCs w:val="20"/>
              </w:rPr>
              <w:t>Additional Reading</w:t>
            </w:r>
          </w:p>
          <w:p w14:paraId="522D3ACB"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Đurović Todorović J., Đorđević, M., Ristić Cakić, M., (2024), Optimizing the coordination of fiscal and monetary policy for sustainable economic growth in the Republic of Serbia, Proceeding of the International Scientific Conference: Circular economy: trends and perspectives, Faculty of Economics Niš, p.p. 331-350,</w:t>
            </w:r>
          </w:p>
          <w:p w14:paraId="2C3552CB"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 xml:space="preserve">Đorđević, M., </w:t>
            </w:r>
            <w:r w:rsidRPr="005E4FED">
              <w:rPr>
                <w:rFonts w:ascii="Times New Roman" w:hAnsi="Times New Roman" w:cs="Times New Roman"/>
                <w:bCs/>
                <w:sz w:val="20"/>
                <w:szCs w:val="20"/>
                <w:lang w:val="sr-Cyrl-RS"/>
              </w:rPr>
              <w:t>Đurović Todorović, J</w:t>
            </w:r>
            <w:r w:rsidRPr="005E4FED">
              <w:rPr>
                <w:rFonts w:ascii="Times New Roman" w:hAnsi="Times New Roman" w:cs="Times New Roman"/>
                <w:sz w:val="20"/>
                <w:szCs w:val="20"/>
                <w:lang w:val="sr-Cyrl-RS"/>
              </w:rPr>
              <w:t xml:space="preserve">., (2023), </w:t>
            </w:r>
            <w:r w:rsidRPr="005E4FED">
              <w:rPr>
                <w:rFonts w:ascii="Times New Roman" w:hAnsi="Times New Roman" w:cs="Times New Roman"/>
                <w:bCs/>
                <w:sz w:val="20"/>
                <w:szCs w:val="20"/>
                <w:lang w:val="sr-Cyrl-RS"/>
              </w:rPr>
              <w:t>Analiza monetarnih agregata NBS u cilju unapređenja stabilnosti nivoa cena u Republici Srbiji,</w:t>
            </w:r>
            <w:r w:rsidRPr="005E4FED">
              <w:rPr>
                <w:rFonts w:ascii="Times New Roman" w:hAnsi="Times New Roman" w:cs="Times New Roman"/>
                <w:b/>
                <w:sz w:val="20"/>
                <w:szCs w:val="20"/>
                <w:lang w:val="sr-Cyrl-RS"/>
              </w:rPr>
              <w:t xml:space="preserve"> </w:t>
            </w:r>
            <w:r w:rsidRPr="005E4FED">
              <w:rPr>
                <w:rFonts w:ascii="Times New Roman" w:hAnsi="Times New Roman" w:cs="Times New Roman"/>
                <w:sz w:val="20"/>
                <w:szCs w:val="20"/>
                <w:lang w:val="sr-Cyrl-RS"/>
              </w:rPr>
              <w:t>Tematski zbornik: „Digitalna transformacija u funkciji privrednog razvoja Republike Srbije“, Ekonomski fakultet u Nišu, 123-137,</w:t>
            </w:r>
          </w:p>
          <w:p w14:paraId="14B5EF72"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Latn-RS"/>
              </w:rPr>
              <w:t>Đurović Todorović J., (2023), The effects of monetary and fiscal policies on economic growth: some implications for post-COVID-19, International Scientific Conference: „The Influence of European Integration on the Development of Monetary Law“, Jean Monnet Module for European Monetary Law and Faculty of Law University of Niš,</w:t>
            </w:r>
          </w:p>
          <w:p w14:paraId="22AF96A6"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Latn-RS"/>
              </w:rPr>
              <w:t xml:space="preserve">Đurović Todorović J., Đorđević, M., </w:t>
            </w:r>
            <w:r w:rsidRPr="005E4FED">
              <w:rPr>
                <w:rFonts w:ascii="Times New Roman" w:hAnsi="Times New Roman" w:cs="Times New Roman"/>
                <w:bCs/>
                <w:sz w:val="20"/>
                <w:szCs w:val="20"/>
                <w:lang w:val="sr-Latn-RS"/>
              </w:rPr>
              <w:t>Ristić Cakić, M.</w:t>
            </w:r>
            <w:r w:rsidRPr="005E4FED">
              <w:rPr>
                <w:rFonts w:ascii="Times New Roman" w:hAnsi="Times New Roman" w:cs="Times New Roman"/>
                <w:sz w:val="20"/>
                <w:szCs w:val="20"/>
                <w:lang w:val="sr-Latn-RS"/>
              </w:rPr>
              <w:t xml:space="preserve"> (2023). Estimates of the Effectiveness of Monetary Policy in the Republic of Serbia, 11th International Scientific Conference EKONBIZ, Novi Ekonomist - </w:t>
            </w:r>
            <w:bookmarkStart w:id="0" w:name="_Hlk202865166"/>
            <w:r w:rsidRPr="005E4FED">
              <w:rPr>
                <w:rFonts w:ascii="Times New Roman" w:hAnsi="Times New Roman" w:cs="Times New Roman"/>
                <w:sz w:val="20"/>
                <w:szCs w:val="20"/>
                <w:lang w:val="sr-Latn-RS"/>
              </w:rPr>
              <w:t xml:space="preserve">Journal of Economic Theory and Practice </w:t>
            </w:r>
            <w:bookmarkEnd w:id="0"/>
            <w:r w:rsidRPr="005E4FED">
              <w:rPr>
                <w:rFonts w:ascii="Times New Roman" w:hAnsi="Times New Roman" w:cs="Times New Roman"/>
                <w:sz w:val="20"/>
                <w:szCs w:val="20"/>
                <w:lang w:val="sr-Latn-RS"/>
              </w:rPr>
              <w:t>Vol 17(1),  Year XVII, Issue 33, january – june 2023.   28-34,</w:t>
            </w:r>
          </w:p>
          <w:p w14:paraId="4533148E"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 xml:space="preserve">Ђорђевић, М., Ђуровић Тодоровић, Ј., Ристић Цакић, М., (2022), Izazovi vođenja monetarne politike u uslovima krize COVID-19, </w:t>
            </w:r>
            <w:r w:rsidRPr="005E4FED">
              <w:rPr>
                <w:rFonts w:ascii="Times New Roman" w:hAnsi="Times New Roman" w:cs="Times New Roman"/>
                <w:iCs/>
                <w:sz w:val="20"/>
                <w:szCs w:val="20"/>
                <w:lang w:val="sr-Cyrl-RS"/>
              </w:rPr>
              <w:t>Naučni skup: Institucionalne promene kao determinanta privrednog razvoja Republike Srbije,</w:t>
            </w:r>
            <w:r w:rsidRPr="005E4FED">
              <w:rPr>
                <w:rFonts w:ascii="Times New Roman" w:hAnsi="Times New Roman" w:cs="Times New Roman"/>
                <w:sz w:val="20"/>
                <w:szCs w:val="20"/>
                <w:lang w:val="sr-Cyrl-RS"/>
              </w:rPr>
              <w:t xml:space="preserve"> Univerzitet u Kragujevcu, Ekonomski fakultet,</w:t>
            </w:r>
          </w:p>
          <w:p w14:paraId="53A8528B"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 xml:space="preserve">Ђорђевић, М., Ђуровић Тодоровић, Ј., Ристић Цакић, М., (2022), The impact of the crisis on the monetary policy course in the world leading central banks (Uticaj krize na promene kursa monetarne politike vodećih centralnih banaka u svetu), </w:t>
            </w:r>
            <w:r w:rsidRPr="005E4FED">
              <w:rPr>
                <w:rFonts w:ascii="Times New Roman" w:hAnsi="Times New Roman" w:cs="Times New Roman"/>
                <w:i/>
                <w:sz w:val="20"/>
                <w:szCs w:val="20"/>
                <w:lang w:val="sr-Cyrl-RS"/>
              </w:rPr>
              <w:t>Jahorina Business Forum 2022: Economic lessons learnt from the 2008 and 2020 crises: Experiences and recommendations for interpreneurial nations,</w:t>
            </w:r>
            <w:r w:rsidRPr="005E4FED">
              <w:rPr>
                <w:rFonts w:ascii="Times New Roman" w:hAnsi="Times New Roman" w:cs="Times New Roman"/>
                <w:sz w:val="20"/>
                <w:szCs w:val="20"/>
                <w:lang w:val="sr-Cyrl-RS"/>
              </w:rPr>
              <w:t xml:space="preserve"> 24-25th march 2022,  Faculty of Economics Pale, University of East Sarajevo, p.p. 55-66,</w:t>
            </w:r>
          </w:p>
          <w:p w14:paraId="7B7378DB"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Ђорђевић, М.,</w:t>
            </w:r>
            <w:r w:rsidRPr="005E4FED">
              <w:rPr>
                <w:rFonts w:ascii="Times New Roman" w:hAnsi="Times New Roman" w:cs="Times New Roman"/>
                <w:sz w:val="20"/>
                <w:szCs w:val="20"/>
                <w:lang w:val="sr-Latn-RS"/>
              </w:rPr>
              <w:t xml:space="preserve"> </w:t>
            </w:r>
            <w:r w:rsidRPr="005E4FED">
              <w:rPr>
                <w:rFonts w:ascii="Times New Roman" w:hAnsi="Times New Roman" w:cs="Times New Roman"/>
                <w:sz w:val="20"/>
                <w:szCs w:val="20"/>
                <w:lang w:val="sr-Cyrl-RS"/>
              </w:rPr>
              <w:t>Ђуровић Тодоровић, Ј., Ристић Цакић, М</w:t>
            </w:r>
            <w:r w:rsidRPr="005E4FED">
              <w:rPr>
                <w:rFonts w:ascii="Times New Roman" w:hAnsi="Times New Roman" w:cs="Times New Roman"/>
                <w:b/>
                <w:sz w:val="20"/>
                <w:szCs w:val="20"/>
                <w:lang w:val="sr-Cyrl-RS"/>
              </w:rPr>
              <w:t>.</w:t>
            </w:r>
            <w:r w:rsidRPr="005E4FED">
              <w:rPr>
                <w:rFonts w:ascii="Times New Roman" w:hAnsi="Times New Roman" w:cs="Times New Roman"/>
                <w:b/>
                <w:sz w:val="20"/>
                <w:szCs w:val="20"/>
                <w:lang w:val="en-GB"/>
              </w:rPr>
              <w:t xml:space="preserve">, </w:t>
            </w:r>
            <w:r w:rsidRPr="005E4FED">
              <w:rPr>
                <w:rFonts w:ascii="Times New Roman" w:hAnsi="Times New Roman" w:cs="Times New Roman"/>
                <w:sz w:val="20"/>
                <w:szCs w:val="20"/>
                <w:lang w:val="en-GB"/>
              </w:rPr>
              <w:t>(2020),</w:t>
            </w:r>
            <w:r w:rsidRPr="005E4FED">
              <w:rPr>
                <w:rFonts w:ascii="Times New Roman" w:hAnsi="Times New Roman" w:cs="Times New Roman"/>
                <w:b/>
                <w:sz w:val="20"/>
                <w:szCs w:val="20"/>
                <w:lang w:val="en-GB"/>
              </w:rPr>
              <w:t xml:space="preserve">  </w:t>
            </w:r>
            <w:r w:rsidRPr="005E4FED">
              <w:rPr>
                <w:rFonts w:ascii="Times New Roman" w:hAnsi="Times New Roman" w:cs="Times New Roman"/>
                <w:sz w:val="20"/>
                <w:szCs w:val="20"/>
                <w:lang w:val="sr-Cyrl-RS"/>
              </w:rPr>
              <w:t xml:space="preserve">APPLICATION OF UNCONVENTIONAL MONETARY POLICY INSTRUMENTS IN MITIGATION OF THE ECONOMIC CONSEQUENCES OF THE COVID </w:t>
            </w:r>
            <w:r w:rsidRPr="005E4FED">
              <w:rPr>
                <w:rFonts w:ascii="Times New Roman" w:hAnsi="Times New Roman" w:cs="Times New Roman"/>
                <w:sz w:val="20"/>
                <w:szCs w:val="20"/>
                <w:lang w:val="sr-Cyrl-RS"/>
              </w:rPr>
              <w:lastRenderedPageBreak/>
              <w:t xml:space="preserve">19 VIRUS PANDEMIC, </w:t>
            </w:r>
            <w:r w:rsidRPr="005E4FED">
              <w:rPr>
                <w:rFonts w:ascii="Times New Roman" w:hAnsi="Times New Roman" w:cs="Times New Roman"/>
                <w:bCs/>
                <w:iCs/>
                <w:sz w:val="20"/>
                <w:szCs w:val="20"/>
                <w:lang w:val="sr-Cyrl-RS"/>
              </w:rPr>
              <w:t>FACTA UNIVERSITATIS Series: Economics and Organization</w:t>
            </w:r>
            <w:r w:rsidRPr="005E4FED">
              <w:rPr>
                <w:rFonts w:ascii="Times New Roman" w:hAnsi="Times New Roman" w:cs="Times New Roman"/>
                <w:sz w:val="20"/>
                <w:szCs w:val="20"/>
                <w:lang w:val="sr-Cyrl-RS"/>
              </w:rPr>
              <w:t xml:space="preserve"> Vol. 17, No 3, https://doi.org/10.22190/FUEO200526018D, p.p. 231 – 248,</w:t>
            </w:r>
          </w:p>
          <w:p w14:paraId="17F06C03"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sz w:val="20"/>
                <w:szCs w:val="20"/>
                <w:lang w:val="sr-Cyrl-RS"/>
              </w:rPr>
              <w:t>Ђорђевић, М.,</w:t>
            </w:r>
            <w:r w:rsidRPr="005E4FED">
              <w:rPr>
                <w:rFonts w:ascii="Times New Roman" w:hAnsi="Times New Roman" w:cs="Times New Roman"/>
                <w:sz w:val="20"/>
                <w:szCs w:val="20"/>
                <w:lang w:val="sr-Latn-RS"/>
              </w:rPr>
              <w:t xml:space="preserve"> </w:t>
            </w:r>
            <w:r w:rsidRPr="005E4FED">
              <w:rPr>
                <w:rFonts w:ascii="Times New Roman" w:hAnsi="Times New Roman" w:cs="Times New Roman"/>
                <w:sz w:val="20"/>
                <w:szCs w:val="20"/>
                <w:lang w:val="sr-Cyrl-RS"/>
              </w:rPr>
              <w:t>Ђуровић Тодоровић, Ј., Ристић Цакић, М</w:t>
            </w:r>
            <w:r w:rsidRPr="005E4FED">
              <w:rPr>
                <w:rFonts w:ascii="Times New Roman" w:hAnsi="Times New Roman" w:cs="Times New Roman"/>
                <w:sz w:val="20"/>
                <w:szCs w:val="20"/>
                <w:lang w:val="sr-Latn-RS"/>
              </w:rPr>
              <w:t xml:space="preserve">, (2020), </w:t>
            </w:r>
            <w:r w:rsidRPr="005E4FED">
              <w:rPr>
                <w:rFonts w:ascii="Times New Roman" w:hAnsi="Times New Roman" w:cs="Times New Roman"/>
                <w:bCs/>
                <w:sz w:val="20"/>
                <w:szCs w:val="20"/>
                <w:lang w:val="sr-Cyrl-RS"/>
              </w:rPr>
              <w:t>ZNAČAJ UPOTREBE QE I “NOVCA IZ HELIKOPTERA” U POKRETANJU PRIVREDNE AKTIVNOSTI NAKON KRIZE IZAZVANE VIRUSOM KOVID 19</w:t>
            </w:r>
            <w:r w:rsidRPr="005E4FED">
              <w:rPr>
                <w:rFonts w:ascii="Times New Roman" w:hAnsi="Times New Roman" w:cs="Times New Roman"/>
                <w:b/>
                <w:bCs/>
                <w:sz w:val="20"/>
                <w:szCs w:val="20"/>
                <w:lang w:val="sr-Cyrl-RS"/>
              </w:rPr>
              <w:t xml:space="preserve">, </w:t>
            </w:r>
            <w:r w:rsidRPr="005E4FED">
              <w:rPr>
                <w:rFonts w:ascii="Times New Roman" w:hAnsi="Times New Roman" w:cs="Times New Roman"/>
                <w:bCs/>
                <w:iCs/>
                <w:sz w:val="20"/>
                <w:szCs w:val="20"/>
                <w:lang w:val="sr-Cyrl-RS"/>
              </w:rPr>
              <w:t>FINANSIJE Časopis za teoriju i praksu finansija</w:t>
            </w:r>
            <w:r w:rsidRPr="005E4FED">
              <w:rPr>
                <w:rFonts w:ascii="Times New Roman" w:hAnsi="Times New Roman" w:cs="Times New Roman"/>
                <w:sz w:val="20"/>
                <w:szCs w:val="20"/>
                <w:lang w:val="sr-Cyrl-RS"/>
              </w:rPr>
              <w:t>, br. 1−6/2020, str. 7-27,</w:t>
            </w:r>
          </w:p>
          <w:p w14:paraId="7D6C6BB4" w14:textId="77777777" w:rsidR="005D5AD5" w:rsidRPr="005E4FED" w:rsidRDefault="005D5AD5" w:rsidP="00687040">
            <w:pPr>
              <w:pStyle w:val="Body"/>
              <w:numPr>
                <w:ilvl w:val="0"/>
                <w:numId w:val="16"/>
              </w:numPr>
              <w:tabs>
                <w:tab w:val="left" w:pos="567"/>
              </w:tabs>
              <w:spacing w:before="60"/>
              <w:ind w:left="540"/>
              <w:rPr>
                <w:rFonts w:ascii="Times New Roman" w:hAnsi="Times New Roman" w:cs="Times New Roman"/>
                <w:sz w:val="20"/>
                <w:szCs w:val="20"/>
                <w:lang w:val="sr-Cyrl-RS"/>
              </w:rPr>
            </w:pPr>
            <w:r w:rsidRPr="005E4FED">
              <w:rPr>
                <w:rFonts w:ascii="Times New Roman" w:hAnsi="Times New Roman" w:cs="Times New Roman"/>
                <w:bCs/>
                <w:iCs/>
                <w:sz w:val="20"/>
                <w:szCs w:val="20"/>
                <w:lang w:val="sr-Cyrl-CS"/>
              </w:rPr>
              <w:t>Ђуровић Тодоровић, Ј.,</w:t>
            </w:r>
            <w:r w:rsidRPr="005E4FED">
              <w:rPr>
                <w:rFonts w:ascii="Times New Roman" w:hAnsi="Times New Roman" w:cs="Times New Roman"/>
                <w:bCs/>
                <w:iCs/>
                <w:sz w:val="20"/>
                <w:szCs w:val="20"/>
                <w:lang w:val="sr-Latn-RS"/>
              </w:rPr>
              <w:t xml:space="preserve"> </w:t>
            </w:r>
            <w:r w:rsidRPr="005E4FED">
              <w:rPr>
                <w:rFonts w:ascii="Times New Roman" w:hAnsi="Times New Roman" w:cs="Times New Roman"/>
                <w:bCs/>
                <w:iCs/>
                <w:sz w:val="20"/>
                <w:szCs w:val="20"/>
                <w:lang w:val="sr-Cyrl-RS"/>
              </w:rPr>
              <w:t xml:space="preserve">Ђорђевић, М., Томић, З., </w:t>
            </w:r>
            <w:r w:rsidRPr="005E4FED">
              <w:rPr>
                <w:rFonts w:ascii="Times New Roman" w:hAnsi="Times New Roman" w:cs="Times New Roman"/>
                <w:bCs/>
                <w:iCs/>
                <w:sz w:val="20"/>
                <w:szCs w:val="20"/>
                <w:lang w:val="sr-Latn-RS"/>
              </w:rPr>
              <w:t>(</w:t>
            </w:r>
            <w:r w:rsidRPr="005E4FED">
              <w:rPr>
                <w:rFonts w:ascii="Times New Roman" w:hAnsi="Times New Roman" w:cs="Times New Roman"/>
                <w:bCs/>
                <w:iCs/>
                <w:sz w:val="20"/>
                <w:szCs w:val="20"/>
                <w:lang w:val="sr-Cyrl-RS"/>
              </w:rPr>
              <w:t>2016</w:t>
            </w:r>
            <w:r w:rsidRPr="005E4FED">
              <w:rPr>
                <w:rFonts w:ascii="Times New Roman" w:hAnsi="Times New Roman" w:cs="Times New Roman"/>
                <w:bCs/>
                <w:iCs/>
                <w:sz w:val="20"/>
                <w:szCs w:val="20"/>
                <w:lang w:val="sr-Latn-RS"/>
              </w:rPr>
              <w:t xml:space="preserve">), </w:t>
            </w:r>
            <w:r w:rsidRPr="005E4FED">
              <w:rPr>
                <w:rFonts w:ascii="Times New Roman" w:hAnsi="Times New Roman" w:cs="Times New Roman"/>
                <w:sz w:val="20"/>
                <w:szCs w:val="20"/>
                <w:lang w:val="sr-Cyrl-RS"/>
              </w:rPr>
              <w:t xml:space="preserve">Analysis of the Dynamics of Inflation in Serbia, Strategic Management - International Journal of Strategic Management and Decision Support Systems in Strategic Management, </w:t>
            </w:r>
            <w:r w:rsidRPr="005E4FED">
              <w:rPr>
                <w:rFonts w:ascii="Times New Roman" w:hAnsi="Times New Roman" w:cs="Times New Roman"/>
                <w:sz w:val="20"/>
                <w:szCs w:val="20"/>
                <w:lang w:val="sr-Latn-RS"/>
              </w:rPr>
              <w:t xml:space="preserve">Vol.21, No.3, </w:t>
            </w:r>
            <w:r w:rsidRPr="005E4FED">
              <w:rPr>
                <w:rFonts w:ascii="Times New Roman" w:hAnsi="Times New Roman" w:cs="Times New Roman"/>
                <w:sz w:val="20"/>
                <w:szCs w:val="20"/>
                <w:lang w:val="sr-Cyrl-RS"/>
              </w:rPr>
              <w:t>Faculty of Economics Subotica, ISSN 1821-3448, стр. 56 - 61</w:t>
            </w:r>
          </w:p>
          <w:p w14:paraId="5D45C2BE" w14:textId="3C2EADDF" w:rsidR="00757089" w:rsidRPr="005E4FED" w:rsidRDefault="005D5AD5" w:rsidP="00687040">
            <w:pPr>
              <w:pStyle w:val="Body"/>
              <w:numPr>
                <w:ilvl w:val="0"/>
                <w:numId w:val="16"/>
              </w:numPr>
              <w:tabs>
                <w:tab w:val="left" w:pos="567"/>
              </w:tabs>
              <w:spacing w:before="60"/>
              <w:ind w:left="540"/>
              <w:rPr>
                <w:rFonts w:ascii="Times New Roman" w:hAnsi="Times New Roman" w:cs="Times New Roman"/>
                <w:color w:val="auto"/>
                <w:sz w:val="20"/>
                <w:szCs w:val="20"/>
                <w:lang w:val="sr-Cyrl-CS"/>
              </w:rPr>
            </w:pPr>
            <w:r w:rsidRPr="005E4FED">
              <w:rPr>
                <w:rFonts w:ascii="Times New Roman" w:hAnsi="Times New Roman" w:cs="Times New Roman"/>
                <w:bCs/>
                <w:sz w:val="20"/>
                <w:szCs w:val="20"/>
                <w:lang w:val="sr-Cyrl-CS"/>
              </w:rPr>
              <w:t>Веб сајт Народне банке Србије и изабраних централних банака (</w:t>
            </w:r>
            <w:hyperlink r:id="rId8" w:history="1">
              <w:r w:rsidRPr="005E4FED">
                <w:rPr>
                  <w:rStyle w:val="Hyperlink"/>
                  <w:rFonts w:ascii="Times New Roman" w:hAnsi="Times New Roman" w:cs="Times New Roman"/>
                  <w:bCs/>
                  <w:sz w:val="20"/>
                  <w:szCs w:val="20"/>
                  <w:lang w:val="sr-Latn-RS"/>
                </w:rPr>
                <w:t>https://nbs.rs</w:t>
              </w:r>
            </w:hyperlink>
            <w:r w:rsidRPr="005E4FED">
              <w:rPr>
                <w:rFonts w:ascii="Times New Roman" w:hAnsi="Times New Roman" w:cs="Times New Roman"/>
                <w:bCs/>
                <w:sz w:val="20"/>
                <w:szCs w:val="20"/>
                <w:lang w:val="sr-Latn-RS"/>
              </w:rPr>
              <w:t>; https://www.ecb.europa.eu)</w:t>
            </w:r>
          </w:p>
        </w:tc>
      </w:tr>
      <w:tr w:rsidR="00641FAC" w:rsidRPr="005F3A1E" w14:paraId="2CC1B82F"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767BC53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47538AEE"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DF20E5">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5E90878B"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DF20E5">
              <w:rPr>
                <w:rFonts w:ascii="Times New Roman" w:hAnsi="Times New Roman" w:cs="Times New Roman"/>
                <w:b/>
                <w:bCs/>
                <w:sz w:val="20"/>
                <w:szCs w:val="20"/>
              </w:rPr>
              <w:t xml:space="preserve"> </w:t>
            </w:r>
            <w:r w:rsidR="00DF20E5" w:rsidRPr="00DF20E5">
              <w:rPr>
                <w:rFonts w:ascii="Times New Roman" w:hAnsi="Times New Roman" w:cs="Times New Roman"/>
                <w:b/>
                <w:bCs/>
                <w:sz w:val="20"/>
                <w:szCs w:val="20"/>
              </w:rPr>
              <w:t>2</w:t>
            </w:r>
          </w:p>
        </w:tc>
      </w:tr>
      <w:tr w:rsidR="00641FAC" w:rsidRPr="005F3A1E" w14:paraId="03C08A1D"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74225CE"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(M1)</w:t>
            </w:r>
            <w:r w:rsidRPr="00687040">
              <w:rPr>
                <w:rFonts w:ascii="Times New Roman" w:hAnsi="Times New Roman" w:cs="Times New Roman"/>
                <w:bCs/>
                <w:color w:val="auto"/>
                <w:sz w:val="20"/>
                <w:szCs w:val="20"/>
              </w:rPr>
              <w:t xml:space="preserve"> Lecture method (ex cathedra teaching) – presentation of core issues within the above topics, including familiarizing students with the main learning objectives, outlining key problems, using graphical illustrations, and introducing typical exam questions;</w:t>
            </w:r>
          </w:p>
          <w:p w14:paraId="0FB11380"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(M2)</w:t>
            </w:r>
            <w:r w:rsidRPr="00687040">
              <w:rPr>
                <w:rFonts w:ascii="Times New Roman" w:hAnsi="Times New Roman" w:cs="Times New Roman"/>
                <w:bCs/>
                <w:color w:val="auto"/>
                <w:sz w:val="20"/>
                <w:szCs w:val="20"/>
              </w:rPr>
              <w:t xml:space="preserve"> Dialogical method (class discussion) – discussion of presented issues, consideration of possible solutions to specific cases, and interpretation of results obtained;</w:t>
            </w:r>
          </w:p>
          <w:p w14:paraId="1745C9CE"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(M3)</w:t>
            </w:r>
            <w:r w:rsidRPr="00687040">
              <w:rPr>
                <w:rFonts w:ascii="Times New Roman" w:hAnsi="Times New Roman" w:cs="Times New Roman"/>
                <w:bCs/>
                <w:color w:val="auto"/>
                <w:sz w:val="20"/>
                <w:szCs w:val="20"/>
              </w:rPr>
              <w:t xml:space="preserve"> Demonstration method – lectures supported by presentations;</w:t>
            </w:r>
          </w:p>
          <w:p w14:paraId="6B5B8F11"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(M4)</w:t>
            </w:r>
            <w:r w:rsidRPr="00687040">
              <w:rPr>
                <w:rFonts w:ascii="Times New Roman" w:hAnsi="Times New Roman" w:cs="Times New Roman"/>
                <w:bCs/>
                <w:color w:val="auto"/>
                <w:sz w:val="20"/>
                <w:szCs w:val="20"/>
              </w:rPr>
              <w:t xml:space="preserve"> Research method – seminars and research assignments;</w:t>
            </w:r>
          </w:p>
          <w:p w14:paraId="328C77F6"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(M5)</w:t>
            </w:r>
            <w:r w:rsidRPr="00687040">
              <w:rPr>
                <w:rFonts w:ascii="Times New Roman" w:hAnsi="Times New Roman" w:cs="Times New Roman"/>
                <w:bCs/>
                <w:color w:val="auto"/>
                <w:sz w:val="20"/>
                <w:szCs w:val="20"/>
              </w:rPr>
              <w:t xml:space="preserve"> Problem-solving method – solving practical tasks/exercises;</w:t>
            </w:r>
          </w:p>
          <w:p w14:paraId="51E2EAB6"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(M6)</w:t>
            </w:r>
            <w:r w:rsidRPr="00687040">
              <w:rPr>
                <w:rFonts w:ascii="Times New Roman" w:hAnsi="Times New Roman" w:cs="Times New Roman"/>
                <w:bCs/>
                <w:color w:val="auto"/>
                <w:sz w:val="20"/>
                <w:szCs w:val="20"/>
              </w:rPr>
              <w:t xml:space="preserve"> Case study method – analysis of cases aimed at linking theoretical concepts, methods, and techniques with real-world problems, both of the National Bank of Serbia and foreign central banks;</w:t>
            </w:r>
          </w:p>
          <w:p w14:paraId="095339DD" w14:textId="77777777" w:rsidR="005D5AD5" w:rsidRPr="00687040"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(M7)</w:t>
            </w:r>
            <w:r w:rsidRPr="00687040">
              <w:rPr>
                <w:rFonts w:ascii="Times New Roman" w:hAnsi="Times New Roman" w:cs="Times New Roman"/>
                <w:bCs/>
                <w:color w:val="auto"/>
                <w:sz w:val="20"/>
                <w:szCs w:val="20"/>
              </w:rPr>
              <w:t xml:space="preserve"> Innovative pedagogical methods – group work, simulations, and hybrid learning using digital technologies and the internet;</w:t>
            </w:r>
          </w:p>
          <w:p w14:paraId="0B8873EA" w14:textId="58DF7C6B" w:rsidR="00BA156B" w:rsidRDefault="005D5AD5" w:rsidP="00687040">
            <w:pPr>
              <w:pStyle w:val="Body"/>
              <w:numPr>
                <w:ilvl w:val="0"/>
                <w:numId w:val="17"/>
              </w:numPr>
              <w:tabs>
                <w:tab w:val="clear" w:pos="720"/>
                <w:tab w:val="num" w:pos="540"/>
                <w:tab w:val="left" w:pos="567"/>
              </w:tabs>
              <w:spacing w:before="60" w:after="60"/>
              <w:ind w:left="540"/>
              <w:rPr>
                <w:rFonts w:ascii="Times New Roman" w:hAnsi="Times New Roman" w:cs="Times New Roman"/>
                <w:bCs/>
                <w:color w:val="auto"/>
                <w:sz w:val="20"/>
                <w:szCs w:val="20"/>
              </w:rPr>
            </w:pPr>
            <w:r w:rsidRPr="00687040">
              <w:rPr>
                <w:rFonts w:ascii="Times New Roman" w:hAnsi="Times New Roman" w:cs="Times New Roman"/>
                <w:color w:val="auto"/>
                <w:sz w:val="20"/>
                <w:szCs w:val="20"/>
              </w:rPr>
              <w:t>(M8)</w:t>
            </w:r>
            <w:r w:rsidRPr="00687040">
              <w:rPr>
                <w:rFonts w:ascii="Times New Roman" w:hAnsi="Times New Roman" w:cs="Times New Roman"/>
                <w:bCs/>
                <w:color w:val="auto"/>
                <w:sz w:val="20"/>
                <w:szCs w:val="20"/>
              </w:rPr>
              <w:t xml:space="preserve"> Statistical methods.</w:t>
            </w:r>
          </w:p>
          <w:p w14:paraId="21CCBDF2" w14:textId="1CD45ED4" w:rsidR="005D5AD5" w:rsidRPr="00EA1999" w:rsidRDefault="00EA1999" w:rsidP="005D5AD5">
            <w:pPr>
              <w:jc w:val="center"/>
              <w:rPr>
                <w:i/>
                <w:sz w:val="20"/>
                <w:szCs w:val="20"/>
              </w:rPr>
            </w:pPr>
            <w:r>
              <w:rPr>
                <w:i/>
                <w:sz w:val="20"/>
                <w:szCs w:val="20"/>
              </w:rPr>
              <w:t>Alignment of learning outcomes, teaching methods, and assessment methods</w:t>
            </w:r>
          </w:p>
          <w:tbl>
            <w:tblPr>
              <w:tblStyle w:val="TableGrid"/>
              <w:tblW w:w="10485" w:type="dxa"/>
              <w:tblLook w:val="04A0" w:firstRow="1" w:lastRow="0" w:firstColumn="1" w:lastColumn="0" w:noHBand="0" w:noVBand="1"/>
            </w:tblPr>
            <w:tblGrid>
              <w:gridCol w:w="1271"/>
              <w:gridCol w:w="3119"/>
              <w:gridCol w:w="6095"/>
            </w:tblGrid>
            <w:tr w:rsidR="005D5AD5" w14:paraId="1DD6912C" w14:textId="77777777">
              <w:tc>
                <w:tcPr>
                  <w:tcW w:w="1271" w:type="dxa"/>
                  <w:tcBorders>
                    <w:top w:val="single" w:sz="4" w:space="0" w:color="auto"/>
                    <w:left w:val="single" w:sz="4" w:space="0" w:color="auto"/>
                    <w:bottom w:val="single" w:sz="4" w:space="0" w:color="auto"/>
                    <w:right w:val="single" w:sz="4" w:space="0" w:color="auto"/>
                  </w:tcBorders>
                  <w:hideMark/>
                </w:tcPr>
                <w:p w14:paraId="469FBF43" w14:textId="188942CF" w:rsidR="005D5AD5" w:rsidRPr="005D5AD5" w:rsidRDefault="005D5AD5" w:rsidP="005D5AD5">
                  <w:pPr>
                    <w:jc w:val="center"/>
                    <w:rPr>
                      <w:rFonts w:ascii="Times New Roman" w:hAnsi="Times New Roman"/>
                      <w:sz w:val="20"/>
                      <w:szCs w:val="20"/>
                    </w:rPr>
                  </w:pPr>
                  <w:r>
                    <w:rPr>
                      <w:rFonts w:ascii="Times New Roman" w:hAnsi="Times New Roman"/>
                      <w:sz w:val="20"/>
                      <w:szCs w:val="20"/>
                    </w:rPr>
                    <w:t>Outcomes</w:t>
                  </w:r>
                </w:p>
              </w:tc>
              <w:tc>
                <w:tcPr>
                  <w:tcW w:w="3119" w:type="dxa"/>
                  <w:tcBorders>
                    <w:top w:val="single" w:sz="4" w:space="0" w:color="auto"/>
                    <w:left w:val="single" w:sz="4" w:space="0" w:color="auto"/>
                    <w:bottom w:val="single" w:sz="4" w:space="0" w:color="auto"/>
                    <w:right w:val="single" w:sz="4" w:space="0" w:color="auto"/>
                  </w:tcBorders>
                  <w:hideMark/>
                </w:tcPr>
                <w:p w14:paraId="797938B7" w14:textId="0424F5C2" w:rsidR="005D5AD5" w:rsidRPr="00EA1999" w:rsidRDefault="00EA1999" w:rsidP="005D5AD5">
                  <w:pPr>
                    <w:jc w:val="center"/>
                    <w:rPr>
                      <w:rFonts w:ascii="Times New Roman" w:hAnsi="Times New Roman"/>
                      <w:sz w:val="20"/>
                      <w:szCs w:val="20"/>
                    </w:rPr>
                  </w:pPr>
                  <w:r>
                    <w:rPr>
                      <w:rFonts w:ascii="Times New Roman" w:hAnsi="Times New Roman"/>
                      <w:sz w:val="20"/>
                      <w:szCs w:val="20"/>
                    </w:rPr>
                    <w:t>Teaching Methods</w:t>
                  </w:r>
                </w:p>
              </w:tc>
              <w:tc>
                <w:tcPr>
                  <w:tcW w:w="6095" w:type="dxa"/>
                  <w:tcBorders>
                    <w:top w:val="single" w:sz="4" w:space="0" w:color="auto"/>
                    <w:left w:val="single" w:sz="4" w:space="0" w:color="auto"/>
                    <w:bottom w:val="single" w:sz="4" w:space="0" w:color="auto"/>
                    <w:right w:val="single" w:sz="4" w:space="0" w:color="auto"/>
                  </w:tcBorders>
                  <w:hideMark/>
                </w:tcPr>
                <w:p w14:paraId="3A81BA58" w14:textId="571084E3" w:rsidR="005D5AD5" w:rsidRDefault="00EA1999" w:rsidP="005D5AD5">
                  <w:pPr>
                    <w:jc w:val="center"/>
                    <w:rPr>
                      <w:rFonts w:ascii="Times New Roman" w:hAnsi="Times New Roman"/>
                      <w:sz w:val="20"/>
                      <w:szCs w:val="20"/>
                      <w:lang w:val="sr-Cyrl-CS"/>
                    </w:rPr>
                  </w:pPr>
                  <w:r>
                    <w:rPr>
                      <w:rFonts w:ascii="Times New Roman" w:hAnsi="Times New Roman"/>
                      <w:sz w:val="20"/>
                      <w:szCs w:val="20"/>
                    </w:rPr>
                    <w:t>Assessment Methods</w:t>
                  </w:r>
                </w:p>
              </w:tc>
            </w:tr>
            <w:tr w:rsidR="005D5AD5" w:rsidRPr="005D5AD5" w14:paraId="7162554B" w14:textId="77777777">
              <w:tc>
                <w:tcPr>
                  <w:tcW w:w="1271" w:type="dxa"/>
                  <w:tcBorders>
                    <w:top w:val="single" w:sz="4" w:space="0" w:color="auto"/>
                    <w:left w:val="single" w:sz="4" w:space="0" w:color="auto"/>
                    <w:bottom w:val="single" w:sz="4" w:space="0" w:color="auto"/>
                    <w:right w:val="single" w:sz="4" w:space="0" w:color="auto"/>
                  </w:tcBorders>
                  <w:hideMark/>
                </w:tcPr>
                <w:p w14:paraId="4B8BF83C" w14:textId="4DFFE096"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w:t>
                  </w:r>
                </w:p>
              </w:tc>
              <w:tc>
                <w:tcPr>
                  <w:tcW w:w="3119" w:type="dxa"/>
                  <w:tcBorders>
                    <w:top w:val="single" w:sz="4" w:space="0" w:color="auto"/>
                    <w:left w:val="single" w:sz="4" w:space="0" w:color="auto"/>
                    <w:bottom w:val="single" w:sz="4" w:space="0" w:color="auto"/>
                    <w:right w:val="single" w:sz="4" w:space="0" w:color="auto"/>
                  </w:tcBorders>
                  <w:hideMark/>
                </w:tcPr>
                <w:p w14:paraId="53BEF8ED"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М3, М4, М6, М7, М8</w:t>
                  </w:r>
                </w:p>
              </w:tc>
              <w:tc>
                <w:tcPr>
                  <w:tcW w:w="6095" w:type="dxa"/>
                  <w:tcBorders>
                    <w:top w:val="single" w:sz="4" w:space="0" w:color="auto"/>
                    <w:left w:val="single" w:sz="4" w:space="0" w:color="auto"/>
                    <w:bottom w:val="single" w:sz="4" w:space="0" w:color="auto"/>
                    <w:right w:val="single" w:sz="4" w:space="0" w:color="auto"/>
                  </w:tcBorders>
                  <w:hideMark/>
                </w:tcPr>
                <w:p w14:paraId="606081D9" w14:textId="50DFA391"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7DE8F250" w14:textId="77777777">
              <w:tc>
                <w:tcPr>
                  <w:tcW w:w="1271" w:type="dxa"/>
                  <w:tcBorders>
                    <w:top w:val="single" w:sz="4" w:space="0" w:color="auto"/>
                    <w:left w:val="single" w:sz="4" w:space="0" w:color="auto"/>
                    <w:bottom w:val="single" w:sz="4" w:space="0" w:color="auto"/>
                    <w:right w:val="single" w:sz="4" w:space="0" w:color="auto"/>
                  </w:tcBorders>
                  <w:hideMark/>
                </w:tcPr>
                <w:p w14:paraId="646F1AED" w14:textId="7C65EA45"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2</w:t>
                  </w:r>
                </w:p>
              </w:tc>
              <w:tc>
                <w:tcPr>
                  <w:tcW w:w="3119" w:type="dxa"/>
                  <w:tcBorders>
                    <w:top w:val="single" w:sz="4" w:space="0" w:color="auto"/>
                    <w:left w:val="single" w:sz="4" w:space="0" w:color="auto"/>
                    <w:bottom w:val="single" w:sz="4" w:space="0" w:color="auto"/>
                    <w:right w:val="single" w:sz="4" w:space="0" w:color="auto"/>
                  </w:tcBorders>
                  <w:hideMark/>
                </w:tcPr>
                <w:p w14:paraId="1568D988"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М6</w:t>
                  </w:r>
                </w:p>
              </w:tc>
              <w:tc>
                <w:tcPr>
                  <w:tcW w:w="6095" w:type="dxa"/>
                  <w:tcBorders>
                    <w:top w:val="single" w:sz="4" w:space="0" w:color="auto"/>
                    <w:left w:val="single" w:sz="4" w:space="0" w:color="auto"/>
                    <w:bottom w:val="single" w:sz="4" w:space="0" w:color="auto"/>
                    <w:right w:val="single" w:sz="4" w:space="0" w:color="auto"/>
                  </w:tcBorders>
                  <w:hideMark/>
                </w:tcPr>
                <w:p w14:paraId="726DEB4E" w14:textId="52C6DBE2"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2FA8046B" w14:textId="77777777">
              <w:tc>
                <w:tcPr>
                  <w:tcW w:w="1271" w:type="dxa"/>
                  <w:tcBorders>
                    <w:top w:val="single" w:sz="4" w:space="0" w:color="auto"/>
                    <w:left w:val="single" w:sz="4" w:space="0" w:color="auto"/>
                    <w:bottom w:val="single" w:sz="4" w:space="0" w:color="auto"/>
                    <w:right w:val="single" w:sz="4" w:space="0" w:color="auto"/>
                  </w:tcBorders>
                  <w:hideMark/>
                </w:tcPr>
                <w:p w14:paraId="6CA4E550" w14:textId="69EEF60D"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3</w:t>
                  </w:r>
                </w:p>
              </w:tc>
              <w:tc>
                <w:tcPr>
                  <w:tcW w:w="3119" w:type="dxa"/>
                  <w:tcBorders>
                    <w:top w:val="single" w:sz="4" w:space="0" w:color="auto"/>
                    <w:left w:val="single" w:sz="4" w:space="0" w:color="auto"/>
                    <w:bottom w:val="single" w:sz="4" w:space="0" w:color="auto"/>
                    <w:right w:val="single" w:sz="4" w:space="0" w:color="auto"/>
                  </w:tcBorders>
                  <w:hideMark/>
                </w:tcPr>
                <w:p w14:paraId="0CFE30D1"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 xml:space="preserve">М1, М2, М3,  М4, М6 </w:t>
                  </w:r>
                </w:p>
              </w:tc>
              <w:tc>
                <w:tcPr>
                  <w:tcW w:w="6095" w:type="dxa"/>
                  <w:tcBorders>
                    <w:top w:val="single" w:sz="4" w:space="0" w:color="auto"/>
                    <w:left w:val="single" w:sz="4" w:space="0" w:color="auto"/>
                    <w:bottom w:val="single" w:sz="4" w:space="0" w:color="auto"/>
                    <w:right w:val="single" w:sz="4" w:space="0" w:color="auto"/>
                  </w:tcBorders>
                  <w:hideMark/>
                </w:tcPr>
                <w:p w14:paraId="0EA3740E" w14:textId="6732C0DD"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50B8950B" w14:textId="77777777">
              <w:tc>
                <w:tcPr>
                  <w:tcW w:w="1271" w:type="dxa"/>
                  <w:tcBorders>
                    <w:top w:val="single" w:sz="4" w:space="0" w:color="auto"/>
                    <w:left w:val="single" w:sz="4" w:space="0" w:color="auto"/>
                    <w:bottom w:val="single" w:sz="4" w:space="0" w:color="auto"/>
                    <w:right w:val="single" w:sz="4" w:space="0" w:color="auto"/>
                  </w:tcBorders>
                  <w:hideMark/>
                </w:tcPr>
                <w:p w14:paraId="5BBE53B6" w14:textId="4834F7E0"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4</w:t>
                  </w:r>
                </w:p>
              </w:tc>
              <w:tc>
                <w:tcPr>
                  <w:tcW w:w="3119" w:type="dxa"/>
                  <w:tcBorders>
                    <w:top w:val="single" w:sz="4" w:space="0" w:color="auto"/>
                    <w:left w:val="single" w:sz="4" w:space="0" w:color="auto"/>
                    <w:bottom w:val="single" w:sz="4" w:space="0" w:color="auto"/>
                    <w:right w:val="single" w:sz="4" w:space="0" w:color="auto"/>
                  </w:tcBorders>
                  <w:hideMark/>
                </w:tcPr>
                <w:p w14:paraId="2F9E5AF7"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М3, М4, М6</w:t>
                  </w:r>
                </w:p>
              </w:tc>
              <w:tc>
                <w:tcPr>
                  <w:tcW w:w="6095" w:type="dxa"/>
                  <w:tcBorders>
                    <w:top w:val="single" w:sz="4" w:space="0" w:color="auto"/>
                    <w:left w:val="single" w:sz="4" w:space="0" w:color="auto"/>
                    <w:bottom w:val="single" w:sz="4" w:space="0" w:color="auto"/>
                    <w:right w:val="single" w:sz="4" w:space="0" w:color="auto"/>
                  </w:tcBorders>
                  <w:hideMark/>
                </w:tcPr>
                <w:p w14:paraId="69147425" w14:textId="700F4CAD"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63DC6F69" w14:textId="77777777">
              <w:tc>
                <w:tcPr>
                  <w:tcW w:w="1271" w:type="dxa"/>
                  <w:tcBorders>
                    <w:top w:val="single" w:sz="4" w:space="0" w:color="auto"/>
                    <w:left w:val="single" w:sz="4" w:space="0" w:color="auto"/>
                    <w:bottom w:val="single" w:sz="4" w:space="0" w:color="auto"/>
                    <w:right w:val="single" w:sz="4" w:space="0" w:color="auto"/>
                  </w:tcBorders>
                  <w:hideMark/>
                </w:tcPr>
                <w:p w14:paraId="543AAC86" w14:textId="73ED1BD7"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5</w:t>
                  </w:r>
                </w:p>
              </w:tc>
              <w:tc>
                <w:tcPr>
                  <w:tcW w:w="3119" w:type="dxa"/>
                  <w:tcBorders>
                    <w:top w:val="single" w:sz="4" w:space="0" w:color="auto"/>
                    <w:left w:val="single" w:sz="4" w:space="0" w:color="auto"/>
                    <w:bottom w:val="single" w:sz="4" w:space="0" w:color="auto"/>
                    <w:right w:val="single" w:sz="4" w:space="0" w:color="auto"/>
                  </w:tcBorders>
                  <w:hideMark/>
                </w:tcPr>
                <w:p w14:paraId="69F96F3D" w14:textId="77777777" w:rsidR="005D5AD5" w:rsidRDefault="005D5AD5" w:rsidP="005D5AD5">
                  <w:pPr>
                    <w:ind w:left="344" w:hanging="142"/>
                    <w:jc w:val="center"/>
                    <w:rPr>
                      <w:rFonts w:ascii="Times New Roman" w:hAnsi="Times New Roman"/>
                      <w:sz w:val="20"/>
                      <w:szCs w:val="20"/>
                      <w:lang w:val="sr-Cyrl-CS"/>
                    </w:rPr>
                  </w:pPr>
                  <w:r>
                    <w:rPr>
                      <w:rFonts w:ascii="Times New Roman" w:hAnsi="Times New Roman"/>
                      <w:sz w:val="20"/>
                      <w:szCs w:val="20"/>
                      <w:lang w:val="sr-Cyrl-CS"/>
                    </w:rPr>
                    <w:t>М1, М3, М4, М5, М6, М7, М8</w:t>
                  </w:r>
                </w:p>
              </w:tc>
              <w:tc>
                <w:tcPr>
                  <w:tcW w:w="6095" w:type="dxa"/>
                  <w:tcBorders>
                    <w:top w:val="single" w:sz="4" w:space="0" w:color="auto"/>
                    <w:left w:val="single" w:sz="4" w:space="0" w:color="auto"/>
                    <w:bottom w:val="single" w:sz="4" w:space="0" w:color="auto"/>
                    <w:right w:val="single" w:sz="4" w:space="0" w:color="auto"/>
                  </w:tcBorders>
                  <w:hideMark/>
                </w:tcPr>
                <w:p w14:paraId="212D59D8" w14:textId="56631965"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48EEC8F7" w14:textId="77777777">
              <w:tc>
                <w:tcPr>
                  <w:tcW w:w="1271" w:type="dxa"/>
                  <w:tcBorders>
                    <w:top w:val="single" w:sz="4" w:space="0" w:color="auto"/>
                    <w:left w:val="single" w:sz="4" w:space="0" w:color="auto"/>
                    <w:bottom w:val="single" w:sz="4" w:space="0" w:color="auto"/>
                    <w:right w:val="single" w:sz="4" w:space="0" w:color="auto"/>
                  </w:tcBorders>
                  <w:hideMark/>
                </w:tcPr>
                <w:p w14:paraId="1AAAF4FA" w14:textId="64F85596"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6</w:t>
                  </w:r>
                </w:p>
              </w:tc>
              <w:tc>
                <w:tcPr>
                  <w:tcW w:w="3119" w:type="dxa"/>
                  <w:tcBorders>
                    <w:top w:val="single" w:sz="4" w:space="0" w:color="auto"/>
                    <w:left w:val="single" w:sz="4" w:space="0" w:color="auto"/>
                    <w:bottom w:val="single" w:sz="4" w:space="0" w:color="auto"/>
                    <w:right w:val="single" w:sz="4" w:space="0" w:color="auto"/>
                  </w:tcBorders>
                  <w:hideMark/>
                </w:tcPr>
                <w:p w14:paraId="2B84C887"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М5, М6, М8</w:t>
                  </w:r>
                </w:p>
              </w:tc>
              <w:tc>
                <w:tcPr>
                  <w:tcW w:w="6095" w:type="dxa"/>
                  <w:tcBorders>
                    <w:top w:val="single" w:sz="4" w:space="0" w:color="auto"/>
                    <w:left w:val="single" w:sz="4" w:space="0" w:color="auto"/>
                    <w:bottom w:val="single" w:sz="4" w:space="0" w:color="auto"/>
                    <w:right w:val="single" w:sz="4" w:space="0" w:color="auto"/>
                  </w:tcBorders>
                  <w:hideMark/>
                </w:tcPr>
                <w:p w14:paraId="200DB53E" w14:textId="1469D508"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0BA721C7" w14:textId="77777777">
              <w:tc>
                <w:tcPr>
                  <w:tcW w:w="1271" w:type="dxa"/>
                  <w:tcBorders>
                    <w:top w:val="single" w:sz="4" w:space="0" w:color="auto"/>
                    <w:left w:val="single" w:sz="4" w:space="0" w:color="auto"/>
                    <w:bottom w:val="single" w:sz="4" w:space="0" w:color="auto"/>
                    <w:right w:val="single" w:sz="4" w:space="0" w:color="auto"/>
                  </w:tcBorders>
                  <w:hideMark/>
                </w:tcPr>
                <w:p w14:paraId="0BA0837A" w14:textId="412DCC81"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7</w:t>
                  </w:r>
                </w:p>
              </w:tc>
              <w:tc>
                <w:tcPr>
                  <w:tcW w:w="3119" w:type="dxa"/>
                  <w:tcBorders>
                    <w:top w:val="single" w:sz="4" w:space="0" w:color="auto"/>
                    <w:left w:val="single" w:sz="4" w:space="0" w:color="auto"/>
                    <w:bottom w:val="single" w:sz="4" w:space="0" w:color="auto"/>
                    <w:right w:val="single" w:sz="4" w:space="0" w:color="auto"/>
                  </w:tcBorders>
                  <w:hideMark/>
                </w:tcPr>
                <w:p w14:paraId="27E08755"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М6, М7</w:t>
                  </w:r>
                </w:p>
              </w:tc>
              <w:tc>
                <w:tcPr>
                  <w:tcW w:w="6095" w:type="dxa"/>
                  <w:tcBorders>
                    <w:top w:val="single" w:sz="4" w:space="0" w:color="auto"/>
                    <w:left w:val="single" w:sz="4" w:space="0" w:color="auto"/>
                    <w:bottom w:val="single" w:sz="4" w:space="0" w:color="auto"/>
                    <w:right w:val="single" w:sz="4" w:space="0" w:color="auto"/>
                  </w:tcBorders>
                  <w:hideMark/>
                </w:tcPr>
                <w:p w14:paraId="6BB4A191" w14:textId="3F048E94"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practical instruction, final exam</w:t>
                  </w:r>
                </w:p>
              </w:tc>
            </w:tr>
            <w:tr w:rsidR="005D5AD5" w:rsidRPr="005D5AD5" w14:paraId="4C9C469C" w14:textId="77777777">
              <w:tc>
                <w:tcPr>
                  <w:tcW w:w="1271" w:type="dxa"/>
                  <w:tcBorders>
                    <w:top w:val="single" w:sz="4" w:space="0" w:color="auto"/>
                    <w:left w:val="single" w:sz="4" w:space="0" w:color="auto"/>
                    <w:bottom w:val="single" w:sz="4" w:space="0" w:color="auto"/>
                    <w:right w:val="single" w:sz="4" w:space="0" w:color="auto"/>
                  </w:tcBorders>
                  <w:hideMark/>
                </w:tcPr>
                <w:p w14:paraId="25C78A90" w14:textId="6C889535"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8</w:t>
                  </w:r>
                </w:p>
              </w:tc>
              <w:tc>
                <w:tcPr>
                  <w:tcW w:w="3119" w:type="dxa"/>
                  <w:tcBorders>
                    <w:top w:val="single" w:sz="4" w:space="0" w:color="auto"/>
                    <w:left w:val="single" w:sz="4" w:space="0" w:color="auto"/>
                    <w:bottom w:val="single" w:sz="4" w:space="0" w:color="auto"/>
                    <w:right w:val="single" w:sz="4" w:space="0" w:color="auto"/>
                  </w:tcBorders>
                  <w:hideMark/>
                </w:tcPr>
                <w:p w14:paraId="731B83C9"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М5, М6, М8</w:t>
                  </w:r>
                </w:p>
              </w:tc>
              <w:tc>
                <w:tcPr>
                  <w:tcW w:w="6095" w:type="dxa"/>
                  <w:tcBorders>
                    <w:top w:val="single" w:sz="4" w:space="0" w:color="auto"/>
                    <w:left w:val="single" w:sz="4" w:space="0" w:color="auto"/>
                    <w:bottom w:val="single" w:sz="4" w:space="0" w:color="auto"/>
                    <w:right w:val="single" w:sz="4" w:space="0" w:color="auto"/>
                  </w:tcBorders>
                  <w:hideMark/>
                </w:tcPr>
                <w:p w14:paraId="019BAF2F" w14:textId="5B3F8795"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613D1335" w14:textId="77777777">
              <w:tc>
                <w:tcPr>
                  <w:tcW w:w="1271" w:type="dxa"/>
                  <w:tcBorders>
                    <w:top w:val="single" w:sz="4" w:space="0" w:color="auto"/>
                    <w:left w:val="single" w:sz="4" w:space="0" w:color="auto"/>
                    <w:bottom w:val="single" w:sz="4" w:space="0" w:color="auto"/>
                    <w:right w:val="single" w:sz="4" w:space="0" w:color="auto"/>
                  </w:tcBorders>
                  <w:hideMark/>
                </w:tcPr>
                <w:p w14:paraId="224DB2C8" w14:textId="4456947E"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9</w:t>
                  </w:r>
                </w:p>
              </w:tc>
              <w:tc>
                <w:tcPr>
                  <w:tcW w:w="3119" w:type="dxa"/>
                  <w:tcBorders>
                    <w:top w:val="single" w:sz="4" w:space="0" w:color="auto"/>
                    <w:left w:val="single" w:sz="4" w:space="0" w:color="auto"/>
                    <w:bottom w:val="single" w:sz="4" w:space="0" w:color="auto"/>
                    <w:right w:val="single" w:sz="4" w:space="0" w:color="auto"/>
                  </w:tcBorders>
                  <w:hideMark/>
                </w:tcPr>
                <w:p w14:paraId="19D05503"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М5, М6, М7, М8</w:t>
                  </w:r>
                </w:p>
              </w:tc>
              <w:tc>
                <w:tcPr>
                  <w:tcW w:w="6095" w:type="dxa"/>
                  <w:tcBorders>
                    <w:top w:val="single" w:sz="4" w:space="0" w:color="auto"/>
                    <w:left w:val="single" w:sz="4" w:space="0" w:color="auto"/>
                    <w:bottom w:val="single" w:sz="4" w:space="0" w:color="auto"/>
                    <w:right w:val="single" w:sz="4" w:space="0" w:color="auto"/>
                  </w:tcBorders>
                  <w:hideMark/>
                </w:tcPr>
                <w:p w14:paraId="685A09F6" w14:textId="50DB1151" w:rsidR="005D5AD5" w:rsidRDefault="00EA1999" w:rsidP="005D5AD5">
                  <w:pPr>
                    <w:jc w:val="center"/>
                    <w:rPr>
                      <w:rFonts w:ascii="Times New Roman" w:hAnsi="Times New Roman"/>
                      <w:sz w:val="20"/>
                      <w:szCs w:val="20"/>
                      <w:lang w:val="sr-Cyrl-CS"/>
                    </w:rPr>
                  </w:pPr>
                  <w:r>
                    <w:rPr>
                      <w:rFonts w:ascii="Times New Roman" w:hAnsi="Times New Roman"/>
                      <w:sz w:val="20"/>
                      <w:szCs w:val="20"/>
                    </w:rPr>
                    <w:t>Final exam, c</w:t>
                  </w:r>
                  <w:r w:rsidRPr="00EA1999">
                    <w:rPr>
                      <w:rFonts w:ascii="Times New Roman" w:hAnsi="Times New Roman"/>
                      <w:sz w:val="20"/>
                      <w:szCs w:val="20"/>
                    </w:rPr>
                    <w:t>lass activities</w:t>
                  </w:r>
                </w:p>
              </w:tc>
            </w:tr>
            <w:tr w:rsidR="005D5AD5" w:rsidRPr="005D5AD5" w14:paraId="1899CF40" w14:textId="77777777">
              <w:tc>
                <w:tcPr>
                  <w:tcW w:w="1271" w:type="dxa"/>
                  <w:tcBorders>
                    <w:top w:val="single" w:sz="4" w:space="0" w:color="auto"/>
                    <w:left w:val="single" w:sz="4" w:space="0" w:color="auto"/>
                    <w:bottom w:val="single" w:sz="4" w:space="0" w:color="auto"/>
                    <w:right w:val="single" w:sz="4" w:space="0" w:color="auto"/>
                  </w:tcBorders>
                  <w:hideMark/>
                </w:tcPr>
                <w:p w14:paraId="7F16C738" w14:textId="2966AA53"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10</w:t>
                  </w:r>
                </w:p>
              </w:tc>
              <w:tc>
                <w:tcPr>
                  <w:tcW w:w="3119" w:type="dxa"/>
                  <w:tcBorders>
                    <w:top w:val="single" w:sz="4" w:space="0" w:color="auto"/>
                    <w:left w:val="single" w:sz="4" w:space="0" w:color="auto"/>
                    <w:bottom w:val="single" w:sz="4" w:space="0" w:color="auto"/>
                    <w:right w:val="single" w:sz="4" w:space="0" w:color="auto"/>
                  </w:tcBorders>
                  <w:hideMark/>
                </w:tcPr>
                <w:p w14:paraId="27E5AFEC"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М5, М6, М8</w:t>
                  </w:r>
                </w:p>
              </w:tc>
              <w:tc>
                <w:tcPr>
                  <w:tcW w:w="6095" w:type="dxa"/>
                  <w:tcBorders>
                    <w:top w:val="single" w:sz="4" w:space="0" w:color="auto"/>
                    <w:left w:val="single" w:sz="4" w:space="0" w:color="auto"/>
                    <w:bottom w:val="single" w:sz="4" w:space="0" w:color="auto"/>
                    <w:right w:val="single" w:sz="4" w:space="0" w:color="auto"/>
                  </w:tcBorders>
                  <w:hideMark/>
                </w:tcPr>
                <w:p w14:paraId="319ABEE3" w14:textId="0DF56A27" w:rsidR="005D5AD5" w:rsidRDefault="00EA1999" w:rsidP="005D5AD5">
                  <w:pPr>
                    <w:jc w:val="center"/>
                    <w:rPr>
                      <w:rFonts w:ascii="Times New Roman" w:hAnsi="Times New Roman"/>
                      <w:sz w:val="20"/>
                      <w:szCs w:val="20"/>
                      <w:lang w:val="sr-Cyrl-CS"/>
                    </w:rPr>
                  </w:pPr>
                  <w:r>
                    <w:rPr>
                      <w:rFonts w:ascii="Times New Roman" w:hAnsi="Times New Roman"/>
                      <w:sz w:val="20"/>
                      <w:szCs w:val="20"/>
                    </w:rPr>
                    <w:t>Final exam, c</w:t>
                  </w:r>
                  <w:r w:rsidRPr="00EA1999">
                    <w:rPr>
                      <w:rFonts w:ascii="Times New Roman" w:hAnsi="Times New Roman"/>
                      <w:sz w:val="20"/>
                      <w:szCs w:val="20"/>
                    </w:rPr>
                    <w:t>lass activities, practical instruction</w:t>
                  </w:r>
                </w:p>
              </w:tc>
            </w:tr>
            <w:tr w:rsidR="005D5AD5" w:rsidRPr="005D5AD5" w14:paraId="5B06ADB0" w14:textId="77777777">
              <w:tc>
                <w:tcPr>
                  <w:tcW w:w="1271" w:type="dxa"/>
                  <w:tcBorders>
                    <w:top w:val="single" w:sz="4" w:space="0" w:color="auto"/>
                    <w:left w:val="single" w:sz="4" w:space="0" w:color="auto"/>
                    <w:bottom w:val="single" w:sz="4" w:space="0" w:color="auto"/>
                    <w:right w:val="single" w:sz="4" w:space="0" w:color="auto"/>
                  </w:tcBorders>
                  <w:hideMark/>
                </w:tcPr>
                <w:p w14:paraId="5FB09A59" w14:textId="5250FAC1"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11</w:t>
                  </w:r>
                </w:p>
              </w:tc>
              <w:tc>
                <w:tcPr>
                  <w:tcW w:w="3119" w:type="dxa"/>
                  <w:tcBorders>
                    <w:top w:val="single" w:sz="4" w:space="0" w:color="auto"/>
                    <w:left w:val="single" w:sz="4" w:space="0" w:color="auto"/>
                    <w:bottom w:val="single" w:sz="4" w:space="0" w:color="auto"/>
                    <w:right w:val="single" w:sz="4" w:space="0" w:color="auto"/>
                  </w:tcBorders>
                  <w:hideMark/>
                </w:tcPr>
                <w:p w14:paraId="151E28D8"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М6, М7</w:t>
                  </w:r>
                </w:p>
              </w:tc>
              <w:tc>
                <w:tcPr>
                  <w:tcW w:w="6095" w:type="dxa"/>
                  <w:tcBorders>
                    <w:top w:val="single" w:sz="4" w:space="0" w:color="auto"/>
                    <w:left w:val="single" w:sz="4" w:space="0" w:color="auto"/>
                    <w:bottom w:val="single" w:sz="4" w:space="0" w:color="auto"/>
                    <w:right w:val="single" w:sz="4" w:space="0" w:color="auto"/>
                  </w:tcBorders>
                  <w:hideMark/>
                </w:tcPr>
                <w:p w14:paraId="41119825" w14:textId="786890A5"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529AEC4A" w14:textId="77777777">
              <w:tc>
                <w:tcPr>
                  <w:tcW w:w="1271" w:type="dxa"/>
                  <w:tcBorders>
                    <w:top w:val="single" w:sz="4" w:space="0" w:color="auto"/>
                    <w:left w:val="single" w:sz="4" w:space="0" w:color="auto"/>
                    <w:bottom w:val="single" w:sz="4" w:space="0" w:color="auto"/>
                    <w:right w:val="single" w:sz="4" w:space="0" w:color="auto"/>
                  </w:tcBorders>
                  <w:hideMark/>
                </w:tcPr>
                <w:p w14:paraId="2A422882" w14:textId="1CCADCED"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12</w:t>
                  </w:r>
                </w:p>
              </w:tc>
              <w:tc>
                <w:tcPr>
                  <w:tcW w:w="3119" w:type="dxa"/>
                  <w:tcBorders>
                    <w:top w:val="single" w:sz="4" w:space="0" w:color="auto"/>
                    <w:left w:val="single" w:sz="4" w:space="0" w:color="auto"/>
                    <w:bottom w:val="single" w:sz="4" w:space="0" w:color="auto"/>
                    <w:right w:val="single" w:sz="4" w:space="0" w:color="auto"/>
                  </w:tcBorders>
                  <w:hideMark/>
                </w:tcPr>
                <w:p w14:paraId="4718C876"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М4, М5, М6, М7, М8</w:t>
                  </w:r>
                </w:p>
              </w:tc>
              <w:tc>
                <w:tcPr>
                  <w:tcW w:w="6095" w:type="dxa"/>
                  <w:tcBorders>
                    <w:top w:val="single" w:sz="4" w:space="0" w:color="auto"/>
                    <w:left w:val="single" w:sz="4" w:space="0" w:color="auto"/>
                    <w:bottom w:val="single" w:sz="4" w:space="0" w:color="auto"/>
                    <w:right w:val="single" w:sz="4" w:space="0" w:color="auto"/>
                  </w:tcBorders>
                  <w:hideMark/>
                </w:tcPr>
                <w:p w14:paraId="1CCF2A6A" w14:textId="5D143A78"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7F69046D" w14:textId="77777777">
              <w:tc>
                <w:tcPr>
                  <w:tcW w:w="1271" w:type="dxa"/>
                  <w:tcBorders>
                    <w:top w:val="single" w:sz="4" w:space="0" w:color="auto"/>
                    <w:left w:val="single" w:sz="4" w:space="0" w:color="auto"/>
                    <w:bottom w:val="single" w:sz="4" w:space="0" w:color="auto"/>
                    <w:right w:val="single" w:sz="4" w:space="0" w:color="auto"/>
                  </w:tcBorders>
                  <w:hideMark/>
                </w:tcPr>
                <w:p w14:paraId="1C67AD2D" w14:textId="2B57C3FA"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13</w:t>
                  </w:r>
                </w:p>
              </w:tc>
              <w:tc>
                <w:tcPr>
                  <w:tcW w:w="3119" w:type="dxa"/>
                  <w:tcBorders>
                    <w:top w:val="single" w:sz="4" w:space="0" w:color="auto"/>
                    <w:left w:val="single" w:sz="4" w:space="0" w:color="auto"/>
                    <w:bottom w:val="single" w:sz="4" w:space="0" w:color="auto"/>
                    <w:right w:val="single" w:sz="4" w:space="0" w:color="auto"/>
                  </w:tcBorders>
                  <w:hideMark/>
                </w:tcPr>
                <w:p w14:paraId="506B461A"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М6</w:t>
                  </w:r>
                </w:p>
              </w:tc>
              <w:tc>
                <w:tcPr>
                  <w:tcW w:w="6095" w:type="dxa"/>
                  <w:tcBorders>
                    <w:top w:val="single" w:sz="4" w:space="0" w:color="auto"/>
                    <w:left w:val="single" w:sz="4" w:space="0" w:color="auto"/>
                    <w:bottom w:val="single" w:sz="4" w:space="0" w:color="auto"/>
                    <w:right w:val="single" w:sz="4" w:space="0" w:color="auto"/>
                  </w:tcBorders>
                  <w:hideMark/>
                </w:tcPr>
                <w:p w14:paraId="3E6D3A79" w14:textId="6C1293F4"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rsidRPr="005D5AD5" w14:paraId="5AE5C6E1" w14:textId="77777777">
              <w:tc>
                <w:tcPr>
                  <w:tcW w:w="1271" w:type="dxa"/>
                  <w:tcBorders>
                    <w:top w:val="single" w:sz="4" w:space="0" w:color="auto"/>
                    <w:left w:val="single" w:sz="4" w:space="0" w:color="auto"/>
                    <w:bottom w:val="single" w:sz="4" w:space="0" w:color="auto"/>
                    <w:right w:val="single" w:sz="4" w:space="0" w:color="auto"/>
                  </w:tcBorders>
                  <w:hideMark/>
                </w:tcPr>
                <w:p w14:paraId="7ADBCCF2" w14:textId="407A9A9D"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14</w:t>
                  </w:r>
                </w:p>
              </w:tc>
              <w:tc>
                <w:tcPr>
                  <w:tcW w:w="3119" w:type="dxa"/>
                  <w:tcBorders>
                    <w:top w:val="single" w:sz="4" w:space="0" w:color="auto"/>
                    <w:left w:val="single" w:sz="4" w:space="0" w:color="auto"/>
                    <w:bottom w:val="single" w:sz="4" w:space="0" w:color="auto"/>
                    <w:right w:val="single" w:sz="4" w:space="0" w:color="auto"/>
                  </w:tcBorders>
                  <w:hideMark/>
                </w:tcPr>
                <w:p w14:paraId="5D5249C9"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М4, М6, М8</w:t>
                  </w:r>
                </w:p>
              </w:tc>
              <w:tc>
                <w:tcPr>
                  <w:tcW w:w="6095" w:type="dxa"/>
                  <w:tcBorders>
                    <w:top w:val="single" w:sz="4" w:space="0" w:color="auto"/>
                    <w:left w:val="single" w:sz="4" w:space="0" w:color="auto"/>
                    <w:bottom w:val="single" w:sz="4" w:space="0" w:color="auto"/>
                    <w:right w:val="single" w:sz="4" w:space="0" w:color="auto"/>
                  </w:tcBorders>
                  <w:hideMark/>
                </w:tcPr>
                <w:p w14:paraId="38E5972F" w14:textId="66F845CD" w:rsidR="005D5AD5" w:rsidRDefault="00EA1999" w:rsidP="005D5AD5">
                  <w:pPr>
                    <w:jc w:val="center"/>
                    <w:rPr>
                      <w:rFonts w:ascii="Times New Roman" w:hAnsi="Times New Roman"/>
                      <w:sz w:val="20"/>
                      <w:szCs w:val="20"/>
                      <w:lang w:val="sr-Cyrl-CS"/>
                    </w:rPr>
                  </w:pPr>
                  <w:r w:rsidRPr="00EA1999">
                    <w:rPr>
                      <w:rFonts w:ascii="Times New Roman" w:hAnsi="Times New Roman"/>
                      <w:sz w:val="20"/>
                      <w:szCs w:val="20"/>
                    </w:rPr>
                    <w:t>Class activities, seminar paper, practical instruction, final exam</w:t>
                  </w:r>
                </w:p>
              </w:tc>
            </w:tr>
            <w:tr w:rsidR="005D5AD5" w14:paraId="10CB600F" w14:textId="77777777">
              <w:tc>
                <w:tcPr>
                  <w:tcW w:w="1271" w:type="dxa"/>
                  <w:tcBorders>
                    <w:top w:val="single" w:sz="4" w:space="0" w:color="auto"/>
                    <w:left w:val="single" w:sz="4" w:space="0" w:color="auto"/>
                    <w:bottom w:val="single" w:sz="4" w:space="0" w:color="auto"/>
                    <w:right w:val="single" w:sz="4" w:space="0" w:color="auto"/>
                  </w:tcBorders>
                  <w:hideMark/>
                </w:tcPr>
                <w:p w14:paraId="3C0B99A7" w14:textId="697FF730" w:rsidR="005D5AD5" w:rsidRDefault="005D5AD5" w:rsidP="005D5AD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15</w:t>
                  </w:r>
                </w:p>
              </w:tc>
              <w:tc>
                <w:tcPr>
                  <w:tcW w:w="3119" w:type="dxa"/>
                  <w:tcBorders>
                    <w:top w:val="single" w:sz="4" w:space="0" w:color="auto"/>
                    <w:left w:val="single" w:sz="4" w:space="0" w:color="auto"/>
                    <w:bottom w:val="single" w:sz="4" w:space="0" w:color="auto"/>
                    <w:right w:val="single" w:sz="4" w:space="0" w:color="auto"/>
                  </w:tcBorders>
                  <w:hideMark/>
                </w:tcPr>
                <w:p w14:paraId="2412756F" w14:textId="77777777" w:rsidR="005D5AD5" w:rsidRDefault="005D5AD5" w:rsidP="005D5AD5">
                  <w:pPr>
                    <w:jc w:val="center"/>
                    <w:rPr>
                      <w:rFonts w:ascii="Times New Roman" w:hAnsi="Times New Roman"/>
                      <w:sz w:val="20"/>
                      <w:szCs w:val="20"/>
                      <w:lang w:val="sr-Cyrl-CS"/>
                    </w:rPr>
                  </w:pPr>
                  <w:r>
                    <w:rPr>
                      <w:rFonts w:ascii="Times New Roman" w:hAnsi="Times New Roman"/>
                      <w:sz w:val="20"/>
                      <w:szCs w:val="20"/>
                      <w:lang w:val="sr-Cyrl-CS"/>
                    </w:rPr>
                    <w:t>М1, М2, М3, М6</w:t>
                  </w:r>
                </w:p>
              </w:tc>
              <w:tc>
                <w:tcPr>
                  <w:tcW w:w="6095" w:type="dxa"/>
                  <w:tcBorders>
                    <w:top w:val="single" w:sz="4" w:space="0" w:color="auto"/>
                    <w:left w:val="single" w:sz="4" w:space="0" w:color="auto"/>
                    <w:bottom w:val="single" w:sz="4" w:space="0" w:color="auto"/>
                    <w:right w:val="single" w:sz="4" w:space="0" w:color="auto"/>
                  </w:tcBorders>
                  <w:hideMark/>
                </w:tcPr>
                <w:p w14:paraId="732FEE06" w14:textId="6355D4FB" w:rsidR="005D5AD5" w:rsidRPr="00EA1999" w:rsidRDefault="00EA1999" w:rsidP="005D5AD5">
                  <w:pPr>
                    <w:jc w:val="center"/>
                    <w:rPr>
                      <w:rFonts w:ascii="Times New Roman" w:hAnsi="Times New Roman"/>
                      <w:sz w:val="20"/>
                      <w:szCs w:val="20"/>
                    </w:rPr>
                  </w:pPr>
                  <w:r>
                    <w:rPr>
                      <w:rFonts w:ascii="Times New Roman" w:hAnsi="Times New Roman"/>
                      <w:sz w:val="20"/>
                      <w:szCs w:val="20"/>
                    </w:rPr>
                    <w:t>Final exam</w:t>
                  </w:r>
                </w:p>
              </w:tc>
            </w:tr>
          </w:tbl>
          <w:p w14:paraId="0DF8256D" w14:textId="402CA37B" w:rsidR="00EA1999" w:rsidRPr="005F3A1E" w:rsidRDefault="00EA1999" w:rsidP="00220D99">
            <w:pPr>
              <w:pStyle w:val="Body"/>
              <w:tabs>
                <w:tab w:val="left" w:pos="567"/>
              </w:tabs>
              <w:spacing w:before="60" w:after="60"/>
              <w:rPr>
                <w:rFonts w:ascii="Times New Roman" w:hAnsi="Times New Roman" w:cs="Times New Roman"/>
                <w:bCs/>
                <w:color w:val="auto"/>
                <w:sz w:val="20"/>
                <w:szCs w:val="20"/>
              </w:rPr>
            </w:pPr>
          </w:p>
        </w:tc>
      </w:tr>
      <w:tr w:rsidR="00641FAC" w:rsidRPr="005F3A1E" w14:paraId="041DF166" w14:textId="77777777" w:rsidTr="00EA19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6DEBF3CC" w:rsidR="00641FAC" w:rsidRPr="005F3A1E" w:rsidRDefault="00EA1999"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79B3C2A1" w:rsidR="001671C7" w:rsidRPr="005F3A1E" w:rsidRDefault="00EA1999"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Practical Instruction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A7404A2" w:rsidR="001671C7" w:rsidRPr="005F3A1E" w:rsidRDefault="00EA1999"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F642242" w:rsidR="001671C7" w:rsidRPr="005F3A1E" w:rsidRDefault="00EA1999" w:rsidP="001671C7">
            <w:pPr>
              <w:spacing w:before="60" w:after="60"/>
              <w:rPr>
                <w:sz w:val="20"/>
                <w:szCs w:val="20"/>
              </w:rPr>
            </w:pPr>
            <w:r>
              <w:rPr>
                <w:sz w:val="20"/>
                <w:szCs w:val="20"/>
              </w:rPr>
              <w:t>50</w:t>
            </w:r>
          </w:p>
        </w:tc>
      </w:tr>
      <w:tr w:rsidR="00D06004" w:rsidRPr="005F3A1E" w14:paraId="54AD3C72"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B3697AF" w:rsidR="00D06004" w:rsidRPr="005F3A1E" w:rsidRDefault="00EA1999"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20E89586"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r w:rsidR="00EA1999" w:rsidRPr="005F3A1E" w14:paraId="653C2321" w14:textId="77777777" w:rsidTr="00EA19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13E399A" w14:textId="23D535FE" w:rsidR="00EA1999" w:rsidRPr="005F3A1E" w:rsidRDefault="00EA1999"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Seminar paper</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34AF27" w14:textId="449431A8" w:rsidR="00EA1999" w:rsidRPr="005F3A1E" w:rsidRDefault="00EA1999"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301559" w14:textId="77777777" w:rsidR="00EA1999" w:rsidRPr="005F3A1E" w:rsidRDefault="00EA1999"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B001A6" w14:textId="77777777" w:rsidR="00EA1999" w:rsidRPr="005F3A1E" w:rsidRDefault="00EA1999" w:rsidP="001671C7">
            <w:pPr>
              <w:spacing w:before="60" w:after="60"/>
              <w:rPr>
                <w:sz w:val="20"/>
                <w:szCs w:val="20"/>
              </w:rPr>
            </w:pPr>
          </w:p>
        </w:tc>
      </w:tr>
    </w:tbl>
    <w:p w14:paraId="1C848966" w14:textId="77777777" w:rsidR="00983116" w:rsidRPr="005F3A1E" w:rsidRDefault="00983116" w:rsidP="00282EFE">
      <w:pPr>
        <w:pStyle w:val="Body"/>
        <w:widowControl w:val="0"/>
      </w:pPr>
    </w:p>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FE0E3" w14:textId="77777777" w:rsidR="0089451C" w:rsidRDefault="0089451C">
      <w:r>
        <w:separator/>
      </w:r>
    </w:p>
  </w:endnote>
  <w:endnote w:type="continuationSeparator" w:id="0">
    <w:p w14:paraId="73B38FD2" w14:textId="77777777" w:rsidR="0089451C" w:rsidRDefault="0089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942E" w14:textId="77777777" w:rsidR="0089451C" w:rsidRDefault="0089451C">
      <w:r>
        <w:separator/>
      </w:r>
    </w:p>
  </w:footnote>
  <w:footnote w:type="continuationSeparator" w:id="0">
    <w:p w14:paraId="477A7560" w14:textId="77777777" w:rsidR="0089451C" w:rsidRDefault="00894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0ECA1030"/>
    <w:multiLevelType w:val="multilevel"/>
    <w:tmpl w:val="564A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A3A29"/>
    <w:multiLevelType w:val="hybridMultilevel"/>
    <w:tmpl w:val="C3A05882"/>
    <w:lvl w:ilvl="0" w:tplc="F4285912">
      <w:start w:val="1"/>
      <w:numFmt w:val="decimal"/>
      <w:lvlText w:val="%1."/>
      <w:lvlJc w:val="left"/>
      <w:pPr>
        <w:ind w:left="720" w:hanging="360"/>
      </w:pPr>
      <w:rPr>
        <w:rFonts w:ascii="Times New Roman" w:hAnsi="Times New Roman" w:cs="Times New Roman" w:hint="default"/>
        <w:b w:val="0"/>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070B0"/>
    <w:multiLevelType w:val="hybridMultilevel"/>
    <w:tmpl w:val="85E89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EE2A50"/>
    <w:multiLevelType w:val="hybridMultilevel"/>
    <w:tmpl w:val="E3EE9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9"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26B87"/>
    <w:multiLevelType w:val="hybridMultilevel"/>
    <w:tmpl w:val="629EC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CA44571"/>
    <w:multiLevelType w:val="multilevel"/>
    <w:tmpl w:val="564A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A6452E"/>
    <w:multiLevelType w:val="multilevel"/>
    <w:tmpl w:val="6FBC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299480">
    <w:abstractNumId w:val="13"/>
  </w:num>
  <w:num w:numId="2" w16cid:durableId="60374417">
    <w:abstractNumId w:val="9"/>
  </w:num>
  <w:num w:numId="3" w16cid:durableId="1497843184">
    <w:abstractNumId w:val="8"/>
  </w:num>
  <w:num w:numId="4" w16cid:durableId="2069916765">
    <w:abstractNumId w:val="4"/>
  </w:num>
  <w:num w:numId="5" w16cid:durableId="338778706">
    <w:abstractNumId w:val="0"/>
  </w:num>
  <w:num w:numId="6" w16cid:durableId="1781412196">
    <w:abstractNumId w:val="14"/>
  </w:num>
  <w:num w:numId="7" w16cid:durableId="61342303">
    <w:abstractNumId w:val="16"/>
  </w:num>
  <w:num w:numId="8" w16cid:durableId="211311078">
    <w:abstractNumId w:val="10"/>
  </w:num>
  <w:num w:numId="9" w16cid:durableId="281959626">
    <w:abstractNumId w:val="5"/>
  </w:num>
  <w:num w:numId="10" w16cid:durableId="2091999449">
    <w:abstractNumId w:val="2"/>
  </w:num>
  <w:num w:numId="11" w16cid:durableId="2109112017">
    <w:abstractNumId w:val="1"/>
  </w:num>
  <w:num w:numId="12" w16cid:durableId="1817330391">
    <w:abstractNumId w:val="15"/>
  </w:num>
  <w:num w:numId="13" w16cid:durableId="923999447">
    <w:abstractNumId w:val="7"/>
  </w:num>
  <w:num w:numId="14" w16cid:durableId="1011223480">
    <w:abstractNumId w:val="6"/>
  </w:num>
  <w:num w:numId="15" w16cid:durableId="2016761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59735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2225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4B53"/>
    <w:rsid w:val="00045EAD"/>
    <w:rsid w:val="00056088"/>
    <w:rsid w:val="0005613C"/>
    <w:rsid w:val="000D7366"/>
    <w:rsid w:val="001226A1"/>
    <w:rsid w:val="00122DB5"/>
    <w:rsid w:val="001248E0"/>
    <w:rsid w:val="00160A88"/>
    <w:rsid w:val="00160BCD"/>
    <w:rsid w:val="001611CA"/>
    <w:rsid w:val="001671C7"/>
    <w:rsid w:val="00192F3E"/>
    <w:rsid w:val="001A64C9"/>
    <w:rsid w:val="001A6813"/>
    <w:rsid w:val="002011A8"/>
    <w:rsid w:val="00220D99"/>
    <w:rsid w:val="00234CBD"/>
    <w:rsid w:val="002520F5"/>
    <w:rsid w:val="00270C16"/>
    <w:rsid w:val="002714FF"/>
    <w:rsid w:val="00282EFE"/>
    <w:rsid w:val="002A40A7"/>
    <w:rsid w:val="002A57C6"/>
    <w:rsid w:val="002E1476"/>
    <w:rsid w:val="002F007A"/>
    <w:rsid w:val="00325620"/>
    <w:rsid w:val="00341AC8"/>
    <w:rsid w:val="00365985"/>
    <w:rsid w:val="00380C26"/>
    <w:rsid w:val="00385793"/>
    <w:rsid w:val="00386402"/>
    <w:rsid w:val="00405D7A"/>
    <w:rsid w:val="00411BD1"/>
    <w:rsid w:val="004244F8"/>
    <w:rsid w:val="004245F7"/>
    <w:rsid w:val="00457FBF"/>
    <w:rsid w:val="004921F7"/>
    <w:rsid w:val="004B5F12"/>
    <w:rsid w:val="00500B0B"/>
    <w:rsid w:val="00523340"/>
    <w:rsid w:val="005507C5"/>
    <w:rsid w:val="005842F8"/>
    <w:rsid w:val="00592A50"/>
    <w:rsid w:val="005B2B23"/>
    <w:rsid w:val="005D5AD5"/>
    <w:rsid w:val="005E4FED"/>
    <w:rsid w:val="005F3A1E"/>
    <w:rsid w:val="00623D25"/>
    <w:rsid w:val="006379EA"/>
    <w:rsid w:val="00641FAC"/>
    <w:rsid w:val="00662249"/>
    <w:rsid w:val="00664504"/>
    <w:rsid w:val="006653D8"/>
    <w:rsid w:val="0066684C"/>
    <w:rsid w:val="00674A82"/>
    <w:rsid w:val="00687040"/>
    <w:rsid w:val="006C169C"/>
    <w:rsid w:val="006D2C6B"/>
    <w:rsid w:val="006E4013"/>
    <w:rsid w:val="007358F5"/>
    <w:rsid w:val="007464A4"/>
    <w:rsid w:val="00755A06"/>
    <w:rsid w:val="00757089"/>
    <w:rsid w:val="007604E9"/>
    <w:rsid w:val="007665F2"/>
    <w:rsid w:val="00774592"/>
    <w:rsid w:val="007B08CE"/>
    <w:rsid w:val="007B7464"/>
    <w:rsid w:val="007C0B15"/>
    <w:rsid w:val="007C0B57"/>
    <w:rsid w:val="007D5816"/>
    <w:rsid w:val="007E358C"/>
    <w:rsid w:val="007F1C56"/>
    <w:rsid w:val="007F75C2"/>
    <w:rsid w:val="00837E2E"/>
    <w:rsid w:val="008539E8"/>
    <w:rsid w:val="00875F92"/>
    <w:rsid w:val="008936D1"/>
    <w:rsid w:val="0089451C"/>
    <w:rsid w:val="008A4D74"/>
    <w:rsid w:val="008C79F8"/>
    <w:rsid w:val="00920682"/>
    <w:rsid w:val="009365C4"/>
    <w:rsid w:val="0096591A"/>
    <w:rsid w:val="00976629"/>
    <w:rsid w:val="00983116"/>
    <w:rsid w:val="00993B18"/>
    <w:rsid w:val="009E21AF"/>
    <w:rsid w:val="00A330F4"/>
    <w:rsid w:val="00A43D28"/>
    <w:rsid w:val="00A60CF7"/>
    <w:rsid w:val="00A85164"/>
    <w:rsid w:val="00A85722"/>
    <w:rsid w:val="00AA0074"/>
    <w:rsid w:val="00AB345B"/>
    <w:rsid w:val="00AC561F"/>
    <w:rsid w:val="00AC7FCB"/>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553BE"/>
    <w:rsid w:val="00C622C8"/>
    <w:rsid w:val="00C64583"/>
    <w:rsid w:val="00CA26B3"/>
    <w:rsid w:val="00CC51EC"/>
    <w:rsid w:val="00D06004"/>
    <w:rsid w:val="00D123BD"/>
    <w:rsid w:val="00D21840"/>
    <w:rsid w:val="00D276F0"/>
    <w:rsid w:val="00D6443B"/>
    <w:rsid w:val="00D777A4"/>
    <w:rsid w:val="00D81E89"/>
    <w:rsid w:val="00DC5531"/>
    <w:rsid w:val="00DF20E5"/>
    <w:rsid w:val="00DF3408"/>
    <w:rsid w:val="00E04D20"/>
    <w:rsid w:val="00E36147"/>
    <w:rsid w:val="00E64EA3"/>
    <w:rsid w:val="00E72084"/>
    <w:rsid w:val="00EA1999"/>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D5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bs.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05AA-5B0B-4B84-B745-A7FE97DA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38</cp:revision>
  <dcterms:created xsi:type="dcterms:W3CDTF">2026-05-07T09:34:00Z</dcterms:created>
  <dcterms:modified xsi:type="dcterms:W3CDTF">2026-06-08T11:58:00Z</dcterms:modified>
</cp:coreProperties>
</file>